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7EAFF3">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_GBK" w:eastAsia="方正小标宋_GBK"/>
          <w:b/>
          <w:sz w:val="32"/>
          <w:szCs w:val="32"/>
        </w:rPr>
      </w:pPr>
      <w:bookmarkStart w:id="0" w:name="_GoBack"/>
      <w:bookmarkEnd w:id="0"/>
    </w:p>
    <w:p w14:paraId="4AF467AB">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_GBK" w:eastAsia="方正小标宋_GBK"/>
          <w:b/>
          <w:sz w:val="32"/>
          <w:szCs w:val="32"/>
        </w:rPr>
      </w:pPr>
    </w:p>
    <w:p w14:paraId="0C130EEA">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_GBK" w:eastAsia="方正小标宋_GBK"/>
          <w:b/>
          <w:sz w:val="32"/>
          <w:szCs w:val="32"/>
        </w:rPr>
      </w:pPr>
    </w:p>
    <w:p w14:paraId="6565BC33">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_GBK" w:eastAsia="方正小标宋_GBK"/>
          <w:b/>
          <w:sz w:val="32"/>
          <w:szCs w:val="32"/>
        </w:rPr>
      </w:pPr>
      <w:r>
        <w:rPr>
          <w:rFonts w:hint="eastAsia"/>
        </w:rPr>
        <w:pict>
          <v:shape id="_x0000_s1026" o:spid="_x0000_s1026" o:spt="136" type="#_x0000_t136" style="position:absolute;left:0pt;margin-left:93.65pt;margin-top:101.2pt;height:51.9pt;width:411pt;mso-position-horizontal-relative:page;mso-position-vertical-relative:margin;z-index:251659264;mso-width-relative:page;mso-height-relative:page;" fillcolor="#FF0000" filled="t" stroked="f" coordsize="21600,21600" adj="10800">
            <v:path/>
            <v:fill on="t" color2="#FFFFFF" focussize="0,0"/>
            <v:stroke on="f"/>
            <v:imagedata o:title=""/>
            <o:lock v:ext="edit" aspectratio="f"/>
            <v:textpath on="t" fitshape="t" fitpath="t" trim="t" xscale="f" string="中共云阳县双土镇委员会" style="font-family:方正小标宋_GBK;font-size:36pt;font-weight:bold;v-text-align:center;"/>
          </v:shape>
        </w:pict>
      </w:r>
    </w:p>
    <w:p w14:paraId="6A5F6079">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_GBK" w:eastAsia="方正小标宋_GBK"/>
          <w:b/>
          <w:sz w:val="32"/>
          <w:szCs w:val="32"/>
        </w:rPr>
      </w:pPr>
    </w:p>
    <w:p w14:paraId="02DFB756">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方正小标宋_GBK" w:eastAsia="方正小标宋_GBK"/>
          <w:b/>
          <w:sz w:val="32"/>
          <w:szCs w:val="32"/>
        </w:rPr>
      </w:pPr>
    </w:p>
    <w:p w14:paraId="75C622C4">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eastAsia="方正仿宋_GBK"/>
          <w:sz w:val="32"/>
          <w:szCs w:val="32"/>
        </w:rPr>
      </w:pPr>
    </w:p>
    <w:p w14:paraId="0EAFA40A">
      <w:pPr>
        <w:keepNext w:val="0"/>
        <w:keepLines w:val="0"/>
        <w:pageBreakBefore w:val="0"/>
        <w:widowControl w:val="0"/>
        <w:kinsoku/>
        <w:wordWrap/>
        <w:overflowPunct/>
        <w:topLinePunct w:val="0"/>
        <w:autoSpaceDE/>
        <w:autoSpaceDN/>
        <w:bidi w:val="0"/>
        <w:adjustRightInd/>
        <w:snapToGrid/>
        <w:spacing w:line="580" w:lineRule="exact"/>
        <w:ind w:firstLine="320" w:firstLineChars="100"/>
        <w:jc w:val="center"/>
        <w:textAlignment w:val="auto"/>
        <w:rPr>
          <w:rFonts w:hint="eastAsia" w:ascii="方正楷体_GBK" w:hAnsi="方正楷体_GBK" w:eastAsia="方正仿宋_GBK" w:cs="方正楷体_GBK"/>
          <w:sz w:val="32"/>
          <w:szCs w:val="32"/>
          <w:lang w:val="en-US" w:eastAsia="zh-CN"/>
        </w:rPr>
      </w:pPr>
      <w:r>
        <w:rPr>
          <w:rFonts w:hint="eastAsia" w:eastAsia="方正仿宋_GBK"/>
          <w:sz w:val="32"/>
          <w:szCs w:val="32"/>
        </w:rPr>
        <w:t>双土委文</w:t>
      </w:r>
      <w:r>
        <w:rPr>
          <w:rFonts w:hint="eastAsia" w:ascii="方正仿宋_GBK" w:hAnsi="宋体"/>
          <w:sz w:val="32"/>
          <w:szCs w:val="32"/>
        </w:rPr>
        <w:t>〔</w:t>
      </w:r>
      <w:r>
        <w:rPr>
          <w:rFonts w:hint="eastAsia"/>
          <w:sz w:val="32"/>
          <w:szCs w:val="32"/>
        </w:rPr>
        <w:t>202</w:t>
      </w:r>
      <w:r>
        <w:rPr>
          <w:rFonts w:hint="eastAsia"/>
          <w:sz w:val="32"/>
          <w:szCs w:val="32"/>
          <w:lang w:val="en-US" w:eastAsia="zh-CN"/>
        </w:rPr>
        <w:t>4</w:t>
      </w:r>
      <w:r>
        <w:rPr>
          <w:rFonts w:hint="eastAsia" w:ascii="方正仿宋_GBK" w:hAnsi="宋体"/>
          <w:sz w:val="32"/>
          <w:szCs w:val="32"/>
        </w:rPr>
        <w:t>〕</w:t>
      </w:r>
      <w:r>
        <w:rPr>
          <w:rFonts w:hint="default" w:ascii="Times New Roman" w:hAnsi="Times New Roman" w:cs="Times New Roman"/>
          <w:sz w:val="32"/>
          <w:szCs w:val="32"/>
          <w:lang w:val="en-US" w:eastAsia="zh-CN"/>
        </w:rPr>
        <w:t>2</w:t>
      </w:r>
      <w:r>
        <w:rPr>
          <w:rFonts w:eastAsia="方正仿宋_GBK"/>
          <w:sz w:val="32"/>
          <w:szCs w:val="32"/>
        </w:rPr>
        <w:t>号</w:t>
      </w:r>
    </w:p>
    <w:p w14:paraId="48CB7267">
      <w:pPr>
        <w:keepNext w:val="0"/>
        <w:keepLines w:val="0"/>
        <w:pageBreakBefore w:val="0"/>
        <w:widowControl w:val="0"/>
        <w:kinsoku/>
        <w:wordWrap/>
        <w:overflowPunct/>
        <w:topLinePunct w:val="0"/>
        <w:autoSpaceDE/>
        <w:autoSpaceDN/>
        <w:bidi w:val="0"/>
        <w:adjustRightInd/>
        <w:snapToGrid/>
        <w:spacing w:line="580" w:lineRule="exact"/>
        <w:textAlignment w:val="auto"/>
        <w:rPr>
          <w:rFonts w:ascii="方正楷体_GBK" w:hAnsi="华文中宋" w:eastAsia="方正楷体_GBK"/>
          <w:sz w:val="32"/>
          <w:szCs w:val="32"/>
        </w:rPr>
      </w:pPr>
      <w:r>
        <w:rPr>
          <w:rFonts w:hint="eastAsia"/>
        </w:rPr>
        <mc:AlternateContent>
          <mc:Choice Requires="wpg">
            <w:drawing>
              <wp:anchor distT="0" distB="0" distL="114300" distR="114300" simplePos="0" relativeHeight="251661312" behindDoc="0" locked="0" layoutInCell="1" allowOverlap="1">
                <wp:simplePos x="0" y="0"/>
                <wp:positionH relativeFrom="column">
                  <wp:posOffset>-144145</wp:posOffset>
                </wp:positionH>
                <wp:positionV relativeFrom="paragraph">
                  <wp:posOffset>24765</wp:posOffset>
                </wp:positionV>
                <wp:extent cx="5993130" cy="304800"/>
                <wp:effectExtent l="0" t="13335" r="7620" b="24765"/>
                <wp:wrapNone/>
                <wp:docPr id="5" name="组合 5"/>
                <wp:cNvGraphicFramePr/>
                <a:graphic xmlns:a="http://schemas.openxmlformats.org/drawingml/2006/main">
                  <a:graphicData uri="http://schemas.microsoft.com/office/word/2010/wordprocessingGroup">
                    <wpg:wgp>
                      <wpg:cNvGrpSpPr/>
                      <wpg:grpSpPr>
                        <a:xfrm>
                          <a:off x="0" y="0"/>
                          <a:ext cx="5993130" cy="304800"/>
                          <a:chOff x="1363" y="6684"/>
                          <a:chExt cx="9438" cy="480"/>
                        </a:xfrm>
                      </wpg:grpSpPr>
                      <wps:wsp>
                        <wps:cNvPr id="2" name="直接连接符 2"/>
                        <wps:cNvCnPr/>
                        <wps:spPr>
                          <a:xfrm>
                            <a:off x="1363" y="6919"/>
                            <a:ext cx="4277" cy="0"/>
                          </a:xfrm>
                          <a:prstGeom prst="line">
                            <a:avLst/>
                          </a:prstGeom>
                          <a:ln w="25400" cap="flat" cmpd="sng">
                            <a:solidFill>
                              <a:srgbClr val="FF0000"/>
                            </a:solidFill>
                            <a:prstDash val="solid"/>
                            <a:headEnd type="none" w="med" len="med"/>
                            <a:tailEnd type="none" w="med" len="med"/>
                          </a:ln>
                        </wps:spPr>
                        <wps:bodyPr upright="1"/>
                      </wps:wsp>
                      <wps:wsp>
                        <wps:cNvPr id="3" name="五角星 3"/>
                        <wps:cNvSpPr/>
                        <wps:spPr>
                          <a:xfrm>
                            <a:off x="5763" y="6684"/>
                            <a:ext cx="600" cy="480"/>
                          </a:xfrm>
                          <a:prstGeom prst="star5">
                            <a:avLst/>
                          </a:prstGeom>
                          <a:solidFill>
                            <a:srgbClr val="FF0000"/>
                          </a:solidFill>
                          <a:ln w="9525" cap="flat" cmpd="sng">
                            <a:solidFill>
                              <a:srgbClr val="FFFFFF"/>
                            </a:solidFill>
                            <a:prstDash val="solid"/>
                            <a:miter/>
                            <a:headEnd type="none" w="med" len="med"/>
                            <a:tailEnd type="none" w="med" len="med"/>
                          </a:ln>
                        </wps:spPr>
                        <wps:bodyPr upright="1"/>
                      </wps:wsp>
                      <wps:wsp>
                        <wps:cNvPr id="4" name="直接连接符 4"/>
                        <wps:cNvCnPr/>
                        <wps:spPr>
                          <a:xfrm>
                            <a:off x="6511" y="6895"/>
                            <a:ext cx="4290" cy="0"/>
                          </a:xfrm>
                          <a:prstGeom prst="line">
                            <a:avLst/>
                          </a:prstGeom>
                          <a:ln w="25400" cap="flat" cmpd="sng">
                            <a:solidFill>
                              <a:srgbClr val="FF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1.35pt;margin-top:1.95pt;height:24pt;width:471.9pt;z-index:251661312;mso-width-relative:page;mso-height-relative:page;" coordorigin="1363,6684" coordsize="9438,480" o:gfxdata="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Dq1&#10;BorZAAAACAEAAA8AAAAAAAAAAQAgAAAAIgAAAGRycy9kb3ducmV2LnhtbFBLAQIUABQAAAAIAIdO&#10;4kAKe6MWBgMAAGQJAAAOAAAAAAAAAAEAIAAAACgBAABkcnMvZTJvRG9jLnhtbFBLBQYAAAAABgAG&#10;AFkBAACgBgAAAAA=&#10;">
                <o:lock v:ext="edit" aspectratio="f"/>
                <v:line id="_x0000_s1026" o:spid="_x0000_s1026" o:spt="20" style="position:absolute;left:1363;top:6919;height:0;width:4277;" filled="f" stroked="t" coordsize="21600,21600" o:gfxdata="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MbZG8AAAA&#10;2gAAAA8AAAAAAAAAAQAgAAAAIgAAAGRycy9kb3ducmV2LnhtbFBLAQIUABQAAAAIAIdO4kAzLwWe&#10;OwAAADkAAAAQAAAAAAAAAAEAIAAAAAsBAABkcnMvc2hhcGV4bWwueG1sUEsFBgAAAAAGAAYAWwEA&#10;ALUDAAAAAA==&#10;">
                  <v:fill on="f" focussize="0,0"/>
                  <v:stroke weight="2pt" color="#FF0000" joinstyle="round"/>
                  <v:imagedata o:title=""/>
                  <o:lock v:ext="edit" aspectratio="f"/>
                </v:line>
                <v:shape id="_x0000_s1026" o:spid="_x0000_s1026" style="position:absolute;left:5763;top:6684;height:480;width:600;" fillcolor="#FF0000" filled="t" stroked="t" coordsize="600,480" o:gfxdata="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urcVugAAANoA&#10;AAAPAAAAAAAAAAEAIAAAACIAAABkcnMvZG93bnJldi54bWxQSwECFAAUAAAACACHTuJAMy8FnjsA&#10;AAA5AAAAEAAAAAAAAAABACAAAAAJAQAAZHJzL3NoYXBleG1sLnhtbFBLBQYAAAAABgAGAFsBAACz&#10;AwAAAAA=&#10;" path="m0,183l229,183,300,0,370,183,599,183,414,296,485,479,300,366,114,479,185,296xe">
                  <v:path o:connectlocs="300,0;0,183;114,479;485,479;599,183" o:connectangles="247,164,82,82,0"/>
                  <v:fill on="t" focussize="0,0"/>
                  <v:stroke color="#FFFFFF" joinstyle="miter"/>
                  <v:imagedata o:title=""/>
                  <o:lock v:ext="edit" aspectratio="f"/>
                </v:shape>
                <v:line id="_x0000_s1026" o:spid="_x0000_s1026" o:spt="20" style="position:absolute;left:6511;top:6895;height:0;width:4290;" filled="f" stroked="t" coordsize="21600,21600" o:gfxdata="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qVB+vQAA&#10;ANoAAAAPAAAAAAAAAAEAIAAAACIAAABkcnMvZG93bnJldi54bWxQSwECFAAUAAAACACHTuJAMy8F&#10;njsAAAA5AAAAEAAAAAAAAAABACAAAAAMAQAAZHJzL3NoYXBleG1sLnhtbFBLBQYAAAAABgAGAFsB&#10;AAC2AwAAAAA=&#10;">
                  <v:fill on="f" focussize="0,0"/>
                  <v:stroke weight="2pt" color="#FF0000" joinstyle="round"/>
                  <v:imagedata o:title=""/>
                  <o:lock v:ext="edit" aspectratio="f"/>
                </v:line>
              </v:group>
            </w:pict>
          </mc:Fallback>
        </mc:AlternateContent>
      </w:r>
    </w:p>
    <w:p w14:paraId="71F7F72C">
      <w:pPr>
        <w:keepNext w:val="0"/>
        <w:keepLines w:val="0"/>
        <w:pageBreakBefore w:val="0"/>
        <w:widowControl w:val="0"/>
        <w:kinsoku/>
        <w:wordWrap/>
        <w:overflowPunct/>
        <w:topLinePunct w:val="0"/>
        <w:autoSpaceDE/>
        <w:autoSpaceDN/>
        <w:bidi w:val="0"/>
        <w:adjustRightInd/>
        <w:snapToGrid/>
        <w:spacing w:line="580" w:lineRule="exact"/>
        <w:textAlignment w:val="auto"/>
        <w:rPr>
          <w:rFonts w:ascii="方正楷体_GBK" w:hAnsi="华文中宋" w:eastAsia="方正楷体_GBK"/>
          <w:sz w:val="32"/>
          <w:szCs w:val="32"/>
        </w:rPr>
      </w:pPr>
    </w:p>
    <w:p w14:paraId="004B8D33">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中共云阳县双土镇委员会</w:t>
      </w:r>
    </w:p>
    <w:p w14:paraId="0043A364">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color w:val="000000"/>
          <w:spacing w:val="23"/>
          <w:sz w:val="44"/>
          <w:szCs w:val="44"/>
        </w:rPr>
      </w:pPr>
      <w:r>
        <w:rPr>
          <w:rFonts w:hint="eastAsia" w:ascii="方正小标宋_GBK" w:hAnsi="方正小标宋_GBK" w:eastAsia="方正小标宋_GBK" w:cs="方正小标宋_GBK"/>
          <w:color w:val="000000"/>
          <w:spacing w:val="23"/>
          <w:sz w:val="44"/>
          <w:szCs w:val="44"/>
        </w:rPr>
        <w:t>云阳县双土镇人民政府</w:t>
      </w:r>
    </w:p>
    <w:p w14:paraId="75BD7554">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关于202</w:t>
      </w:r>
      <w:r>
        <w:rPr>
          <w:rFonts w:hint="eastAsia" w:ascii="方正小标宋_GBK" w:hAnsi="方正小标宋_GBK" w:eastAsia="方正小标宋_GBK" w:cs="方正小标宋_GBK"/>
          <w:color w:val="000000"/>
          <w:sz w:val="44"/>
          <w:szCs w:val="44"/>
          <w:lang w:val="en-US" w:eastAsia="zh-CN"/>
        </w:rPr>
        <w:t>3</w:t>
      </w:r>
      <w:r>
        <w:rPr>
          <w:rFonts w:hint="eastAsia" w:ascii="方正小标宋_GBK" w:hAnsi="方正小标宋_GBK" w:eastAsia="方正小标宋_GBK" w:cs="方正小标宋_GBK"/>
          <w:color w:val="000000"/>
          <w:sz w:val="44"/>
          <w:szCs w:val="44"/>
        </w:rPr>
        <w:t>年法治政府建设情况的报告</w:t>
      </w:r>
    </w:p>
    <w:p w14:paraId="22D904AA">
      <w:pPr>
        <w:pStyle w:val="11"/>
        <w:keepNext w:val="0"/>
        <w:keepLines w:val="0"/>
        <w:pageBreakBefore w:val="0"/>
        <w:widowControl w:val="0"/>
        <w:kinsoku/>
        <w:wordWrap/>
        <w:overflowPunct/>
        <w:topLinePunct w:val="0"/>
        <w:autoSpaceDE/>
        <w:autoSpaceDN/>
        <w:bidi w:val="0"/>
        <w:adjustRightInd/>
        <w:snapToGrid/>
        <w:spacing w:line="720" w:lineRule="exact"/>
        <w:textAlignment w:val="auto"/>
        <w:rPr>
          <w:rFonts w:hint="eastAsia" w:ascii="方正小标宋_GBK" w:hAnsi="方正小标宋_GBK" w:eastAsia="方正小标宋_GBK" w:cs="方正小标宋_GBK"/>
          <w:sz w:val="44"/>
          <w:szCs w:val="44"/>
        </w:rPr>
      </w:pPr>
    </w:p>
    <w:p w14:paraId="4AB9419D">
      <w:pPr>
        <w:keepNext w:val="0"/>
        <w:keepLines w:val="0"/>
        <w:pageBreakBefore w:val="0"/>
        <w:widowControl w:val="0"/>
        <w:kinsoku/>
        <w:wordWrap/>
        <w:overflowPunct/>
        <w:topLinePunct w:val="0"/>
        <w:autoSpaceDE/>
        <w:autoSpaceDN/>
        <w:bidi w:val="0"/>
        <w:adjustRightInd/>
        <w:snapToGrid/>
        <w:spacing w:line="578" w:lineRule="exact"/>
        <w:jc w:val="both"/>
        <w:textAlignment w:val="auto"/>
        <w:rPr>
          <w:rFonts w:hint="eastAsia" w:ascii="Times New Roman" w:hAnsi="Times New Roman" w:eastAsia="方正仿宋_GBK" w:cs="方正仿宋_GBK"/>
          <w:color w:val="000000"/>
          <w:sz w:val="32"/>
          <w:szCs w:val="32"/>
        </w:rPr>
      </w:pPr>
      <w:r>
        <w:rPr>
          <w:rFonts w:hint="eastAsia" w:eastAsia="方正仿宋_GBK" w:cs="方正仿宋_GBK"/>
          <w:color w:val="000000"/>
          <w:sz w:val="32"/>
          <w:szCs w:val="32"/>
          <w:lang w:eastAsia="zh-CN"/>
        </w:rPr>
        <w:t>县委、县政府</w:t>
      </w:r>
      <w:r>
        <w:rPr>
          <w:rFonts w:hint="eastAsia" w:ascii="Times New Roman" w:hAnsi="Times New Roman" w:eastAsia="方正仿宋_GBK" w:cs="方正仿宋_GBK"/>
          <w:color w:val="000000"/>
          <w:sz w:val="32"/>
          <w:szCs w:val="32"/>
        </w:rPr>
        <w:t>：</w:t>
      </w:r>
    </w:p>
    <w:p w14:paraId="3EE32D33">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kern w:val="0"/>
          <w:sz w:val="32"/>
          <w:szCs w:val="32"/>
          <w:lang w:val="en-GB" w:eastAsia="zh-CN"/>
        </w:rPr>
      </w:pPr>
      <w:r>
        <w:rPr>
          <w:rFonts w:hint="eastAsia" w:ascii="Times New Roman" w:hAnsi="Times New Roman" w:eastAsia="方正仿宋_GBK" w:cs="方正仿宋_GBK"/>
          <w:kern w:val="0"/>
          <w:sz w:val="32"/>
          <w:szCs w:val="32"/>
          <w:lang w:val="en-GB" w:eastAsia="zh-CN"/>
        </w:rPr>
        <w:t>202</w:t>
      </w:r>
      <w:r>
        <w:rPr>
          <w:rFonts w:hint="eastAsia" w:eastAsia="方正仿宋_GBK" w:cs="方正仿宋_GBK"/>
          <w:kern w:val="0"/>
          <w:sz w:val="32"/>
          <w:szCs w:val="32"/>
          <w:lang w:val="en-US" w:eastAsia="zh-CN"/>
        </w:rPr>
        <w:t>3</w:t>
      </w:r>
      <w:r>
        <w:rPr>
          <w:rFonts w:hint="eastAsia" w:ascii="Times New Roman" w:hAnsi="Times New Roman" w:eastAsia="方正仿宋_GBK" w:cs="方正仿宋_GBK"/>
          <w:kern w:val="0"/>
          <w:sz w:val="32"/>
          <w:szCs w:val="32"/>
          <w:lang w:val="en-GB"/>
        </w:rPr>
        <w:t>年以来，在县委、县政府的</w:t>
      </w:r>
      <w:r>
        <w:rPr>
          <w:rFonts w:hint="eastAsia" w:eastAsia="方正仿宋_GBK" w:cs="方正仿宋_GBK"/>
          <w:kern w:val="0"/>
          <w:sz w:val="32"/>
          <w:szCs w:val="32"/>
          <w:lang w:val="en-GB" w:eastAsia="zh-CN"/>
        </w:rPr>
        <w:t>坚强</w:t>
      </w:r>
      <w:r>
        <w:rPr>
          <w:rFonts w:hint="eastAsia" w:ascii="Times New Roman" w:hAnsi="Times New Roman" w:eastAsia="方正仿宋_GBK" w:cs="方正仿宋_GBK"/>
          <w:kern w:val="0"/>
          <w:sz w:val="32"/>
          <w:szCs w:val="32"/>
          <w:lang w:val="en-GB"/>
        </w:rPr>
        <w:t>领导下，</w:t>
      </w:r>
      <w:r>
        <w:rPr>
          <w:rFonts w:hint="eastAsia" w:ascii="Times New Roman" w:hAnsi="Times New Roman" w:eastAsia="方正仿宋_GBK" w:cs="方正仿宋_GBK"/>
          <w:kern w:val="0"/>
          <w:sz w:val="32"/>
          <w:szCs w:val="32"/>
          <w:lang w:val="en-US" w:eastAsia="zh-CN"/>
        </w:rPr>
        <w:t>双土</w:t>
      </w:r>
      <w:r>
        <w:rPr>
          <w:rFonts w:hint="eastAsia" w:ascii="Times New Roman" w:hAnsi="Times New Roman" w:eastAsia="方正仿宋_GBK" w:cs="方正仿宋_GBK"/>
          <w:kern w:val="0"/>
          <w:sz w:val="32"/>
          <w:szCs w:val="32"/>
          <w:lang w:val="en-GB"/>
        </w:rPr>
        <w:t>镇坚持以习近平新时代中国特色社会主义思想为指导，深入学习宣传贯彻习近平法治思想</w:t>
      </w:r>
      <w:r>
        <w:rPr>
          <w:rFonts w:hint="eastAsia" w:eastAsia="方正仿宋_GBK" w:cs="方正仿宋_GBK"/>
          <w:kern w:val="0"/>
          <w:sz w:val="32"/>
          <w:szCs w:val="32"/>
          <w:lang w:val="en-GB" w:eastAsia="zh-CN"/>
        </w:rPr>
        <w:t>，</w:t>
      </w:r>
      <w:r>
        <w:rPr>
          <w:rFonts w:ascii="方正仿宋_GBK" w:hAnsi="方正仿宋_GBK" w:eastAsia="方正仿宋_GBK" w:cs="方正仿宋_GBK"/>
          <w:i w:val="0"/>
          <w:iCs w:val="0"/>
          <w:caps w:val="0"/>
          <w:color w:val="000000"/>
          <w:spacing w:val="0"/>
          <w:sz w:val="32"/>
          <w:szCs w:val="32"/>
        </w:rPr>
        <w:t>扎实开展法治政府建设，着力营造“遇事找法，办事依法，解决问题</w:t>
      </w:r>
      <w:r>
        <w:rPr>
          <w:rFonts w:hint="eastAsia" w:ascii="方正仿宋_GBK" w:hAnsi="方正仿宋_GBK" w:eastAsia="方正仿宋_GBK" w:cs="方正仿宋_GBK"/>
          <w:i w:val="0"/>
          <w:iCs w:val="0"/>
          <w:caps w:val="0"/>
          <w:color w:val="000000"/>
          <w:spacing w:val="0"/>
          <w:sz w:val="32"/>
          <w:szCs w:val="32"/>
        </w:rPr>
        <w:t>用法，化解矛盾靠法”的干事创业新常态，为</w:t>
      </w:r>
      <w:r>
        <w:rPr>
          <w:rFonts w:hint="eastAsia" w:ascii="方正仿宋_GBK" w:hAnsi="方正仿宋_GBK" w:eastAsia="方正仿宋_GBK" w:cs="方正仿宋_GBK"/>
          <w:i w:val="0"/>
          <w:iCs w:val="0"/>
          <w:caps w:val="0"/>
          <w:color w:val="000000"/>
          <w:spacing w:val="0"/>
          <w:sz w:val="32"/>
          <w:szCs w:val="32"/>
          <w:lang w:eastAsia="zh-CN"/>
        </w:rPr>
        <w:t>双土</w:t>
      </w:r>
      <w:r>
        <w:rPr>
          <w:rFonts w:hint="eastAsia" w:ascii="方正仿宋_GBK" w:hAnsi="方正仿宋_GBK" w:eastAsia="方正仿宋_GBK" w:cs="方正仿宋_GBK"/>
          <w:i w:val="0"/>
          <w:iCs w:val="0"/>
          <w:caps w:val="0"/>
          <w:color w:val="000000"/>
          <w:spacing w:val="0"/>
          <w:sz w:val="32"/>
          <w:szCs w:val="32"/>
        </w:rPr>
        <w:t>镇经济社会发展营造良好环境，提供有力保障。现将</w:t>
      </w:r>
      <w:r>
        <w:rPr>
          <w:rFonts w:hint="eastAsia" w:ascii="方正仿宋_GBK" w:hAnsi="方正仿宋_GBK" w:eastAsia="方正仿宋_GBK" w:cs="方正仿宋_GBK"/>
          <w:i w:val="0"/>
          <w:iCs w:val="0"/>
          <w:caps w:val="0"/>
          <w:color w:val="000000"/>
          <w:spacing w:val="0"/>
          <w:sz w:val="32"/>
          <w:szCs w:val="32"/>
          <w:lang w:eastAsia="zh-CN"/>
        </w:rPr>
        <w:t>双土</w:t>
      </w:r>
      <w:r>
        <w:rPr>
          <w:rFonts w:hint="eastAsia" w:ascii="方正仿宋_GBK" w:hAnsi="方正仿宋_GBK" w:eastAsia="方正仿宋_GBK" w:cs="方正仿宋_GBK"/>
          <w:i w:val="0"/>
          <w:iCs w:val="0"/>
          <w:caps w:val="0"/>
          <w:color w:val="000000"/>
          <w:spacing w:val="0"/>
          <w:sz w:val="32"/>
          <w:szCs w:val="32"/>
        </w:rPr>
        <w:t>镇</w:t>
      </w:r>
      <w:r>
        <w:rPr>
          <w:rFonts w:hint="default" w:ascii="Times New Roman" w:hAnsi="Times New Roman" w:eastAsia="微软雅黑" w:cs="Times New Roman"/>
          <w:i w:val="0"/>
          <w:iCs w:val="0"/>
          <w:caps w:val="0"/>
          <w:color w:val="000000"/>
          <w:spacing w:val="0"/>
          <w:sz w:val="32"/>
          <w:szCs w:val="32"/>
        </w:rPr>
        <w:t>202</w:t>
      </w:r>
      <w:r>
        <w:rPr>
          <w:rFonts w:hint="eastAsia" w:eastAsia="微软雅黑" w:cs="Times New Roman"/>
          <w:i w:val="0"/>
          <w:iCs w:val="0"/>
          <w:caps w:val="0"/>
          <w:color w:val="000000"/>
          <w:spacing w:val="0"/>
          <w:sz w:val="32"/>
          <w:szCs w:val="32"/>
          <w:lang w:val="en-US" w:eastAsia="zh-CN"/>
        </w:rPr>
        <w:t>3</w:t>
      </w:r>
      <w:r>
        <w:rPr>
          <w:rFonts w:hint="eastAsia" w:ascii="方正仿宋_GBK" w:hAnsi="方正仿宋_GBK" w:eastAsia="方正仿宋_GBK" w:cs="方正仿宋_GBK"/>
          <w:i w:val="0"/>
          <w:iCs w:val="0"/>
          <w:caps w:val="0"/>
          <w:color w:val="000000"/>
          <w:spacing w:val="0"/>
          <w:sz w:val="32"/>
          <w:szCs w:val="32"/>
        </w:rPr>
        <w:t>年度法治政府建设情况报告如下：</w:t>
      </w:r>
    </w:p>
    <w:p w14:paraId="22EDB937">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color w:val="000000"/>
          <w:sz w:val="32"/>
          <w:szCs w:val="32"/>
          <w:lang w:eastAsia="zh-CN"/>
        </w:rPr>
      </w:pPr>
      <w:r>
        <w:rPr>
          <w:rFonts w:hint="eastAsia" w:ascii="方正黑体_GBK" w:hAnsi="方正黑体_GBK" w:eastAsia="方正黑体_GBK" w:cs="方正黑体_GBK"/>
          <w:color w:val="000000"/>
          <w:sz w:val="32"/>
          <w:szCs w:val="32"/>
        </w:rPr>
        <w:t>一、</w:t>
      </w:r>
      <w:r>
        <w:rPr>
          <w:rFonts w:hint="eastAsia" w:ascii="方正黑体_GBK" w:hAnsi="方正黑体_GBK" w:eastAsia="方正黑体_GBK" w:cs="方正黑体_GBK"/>
          <w:color w:val="000000"/>
          <w:sz w:val="32"/>
          <w:szCs w:val="32"/>
          <w:lang w:eastAsia="zh-CN"/>
        </w:rPr>
        <w:t>202</w:t>
      </w:r>
      <w:r>
        <w:rPr>
          <w:rFonts w:hint="eastAsia" w:ascii="方正黑体_GBK" w:hAnsi="方正黑体_GBK" w:eastAsia="方正黑体_GBK" w:cs="方正黑体_GBK"/>
          <w:color w:val="000000"/>
          <w:sz w:val="32"/>
          <w:szCs w:val="32"/>
          <w:lang w:val="en-US" w:eastAsia="zh-CN"/>
        </w:rPr>
        <w:t>3</w:t>
      </w:r>
      <w:r>
        <w:rPr>
          <w:rFonts w:hint="eastAsia" w:ascii="方正黑体_GBK" w:hAnsi="方正黑体_GBK" w:eastAsia="方正黑体_GBK" w:cs="方正黑体_GBK"/>
          <w:color w:val="000000"/>
          <w:sz w:val="32"/>
          <w:szCs w:val="32"/>
          <w:lang w:eastAsia="zh-CN"/>
        </w:rPr>
        <w:t>年推进法治政府建设的主要举措和成效</w:t>
      </w:r>
    </w:p>
    <w:p w14:paraId="231FD9B2">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lang w:val="en-US" w:eastAsia="zh-CN"/>
        </w:rPr>
      </w:pPr>
      <w:r>
        <w:rPr>
          <w:rFonts w:hint="eastAsia" w:ascii="Times New Roman" w:hAnsi="Times New Roman" w:eastAsia="方正仿宋_GBK" w:cs="方正仿宋_GBK"/>
          <w:color w:val="000000"/>
          <w:sz w:val="32"/>
          <w:szCs w:val="32"/>
          <w:lang w:val="en-US" w:eastAsia="zh-CN"/>
        </w:rPr>
        <w:t>双土镇法治政府建设紧紧围绕习近平全面依法治国新理念新思想新战略，把法治政府建设纳入年度重点工作统筹部署，治理体系和治理能力建设加快推进，法治政府建设各项工作取得了新进展、新成效。</w:t>
      </w:r>
    </w:p>
    <w:p w14:paraId="170D9B6E">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lang w:val="en-US" w:eastAsia="zh-CN"/>
        </w:rPr>
      </w:pPr>
      <w:r>
        <w:rPr>
          <w:rFonts w:hint="eastAsia" w:ascii="方正楷体_GBK" w:hAnsi="方正楷体_GBK" w:eastAsia="方正楷体_GBK" w:cs="方正楷体_GBK"/>
          <w:b w:val="0"/>
          <w:bCs w:val="0"/>
          <w:color w:val="000000"/>
          <w:kern w:val="2"/>
          <w:sz w:val="32"/>
          <w:szCs w:val="32"/>
          <w:lang w:val="en-US" w:eastAsia="zh-CN" w:bidi="ar-SA"/>
        </w:rPr>
        <w:t>（一）深学笃用习近平法治思想</w:t>
      </w:r>
      <w:r>
        <w:rPr>
          <w:rFonts w:hint="eastAsia" w:ascii="方正楷体_GBK" w:hAnsi="方正楷体_GBK" w:eastAsia="方正楷体_GBK" w:cs="方正楷体_GBK"/>
          <w:b/>
          <w:bCs/>
          <w:color w:val="000000"/>
          <w:kern w:val="2"/>
          <w:sz w:val="32"/>
          <w:szCs w:val="32"/>
          <w:lang w:val="en-US" w:eastAsia="zh-CN" w:bidi="ar-SA"/>
        </w:rPr>
        <w:t>。</w:t>
      </w:r>
      <w:r>
        <w:rPr>
          <w:rFonts w:hint="eastAsia" w:ascii="Times New Roman" w:hAnsi="Times New Roman" w:eastAsia="方正仿宋_GBK" w:cs="方正仿宋_GBK"/>
          <w:color w:val="000000"/>
          <w:sz w:val="32"/>
          <w:szCs w:val="32"/>
          <w:lang w:val="en-US" w:eastAsia="zh-CN"/>
        </w:rPr>
        <w:t>2023年以来，双土镇将习近平法治思想作为干部教育培训的重要内容。</w:t>
      </w:r>
      <w:r>
        <w:rPr>
          <w:rFonts w:hint="default" w:ascii="Times New Roman" w:hAnsi="Times New Roman" w:eastAsia="方正仿宋_GBK" w:cs="方正仿宋_GBK"/>
          <w:color w:val="000000"/>
          <w:sz w:val="32"/>
          <w:szCs w:val="32"/>
          <w:lang w:val="en-US" w:eastAsia="zh-CN"/>
        </w:rPr>
        <w:t>一是</w:t>
      </w:r>
      <w:r>
        <w:rPr>
          <w:rFonts w:hint="eastAsia" w:ascii="Times New Roman" w:hAnsi="Times New Roman" w:eastAsia="方正仿宋_GBK" w:cs="方正仿宋_GBK"/>
          <w:color w:val="000000"/>
          <w:sz w:val="32"/>
          <w:szCs w:val="32"/>
          <w:lang w:val="en-US" w:eastAsia="zh-CN"/>
        </w:rPr>
        <w:t>把</w:t>
      </w:r>
      <w:r>
        <w:rPr>
          <w:rFonts w:hint="default" w:ascii="Times New Roman" w:hAnsi="Times New Roman" w:eastAsia="方正仿宋_GBK" w:cs="方正仿宋_GBK"/>
          <w:color w:val="000000"/>
          <w:sz w:val="32"/>
          <w:szCs w:val="32"/>
          <w:lang w:val="en-US" w:eastAsia="zh-CN"/>
        </w:rPr>
        <w:t>习近平法治思想</w:t>
      </w:r>
      <w:r>
        <w:rPr>
          <w:rFonts w:hint="eastAsia" w:ascii="Times New Roman" w:hAnsi="Times New Roman" w:eastAsia="方正仿宋_GBK" w:cs="方正仿宋_GBK"/>
          <w:color w:val="000000"/>
          <w:sz w:val="32"/>
          <w:szCs w:val="32"/>
          <w:lang w:val="en-US" w:eastAsia="zh-CN"/>
        </w:rPr>
        <w:t>以及贯彻党的二十大精神作为党委理论学习中心组重点学习内容，领导班子带头领学。</w:t>
      </w:r>
      <w:r>
        <w:rPr>
          <w:rFonts w:hint="default" w:ascii="Times New Roman" w:hAnsi="Times New Roman" w:eastAsia="方正仿宋_GBK" w:cs="方正仿宋_GBK"/>
          <w:color w:val="000000"/>
          <w:sz w:val="32"/>
          <w:szCs w:val="32"/>
          <w:lang w:val="en-US" w:eastAsia="zh-CN"/>
        </w:rPr>
        <w:t>二是由镇文化站牵头，</w:t>
      </w:r>
      <w:r>
        <w:rPr>
          <w:rFonts w:hint="eastAsia" w:ascii="Times New Roman" w:hAnsi="Times New Roman" w:eastAsia="方正仿宋_GBK" w:cs="方正仿宋_GBK"/>
          <w:color w:val="000000"/>
          <w:sz w:val="32"/>
          <w:szCs w:val="32"/>
          <w:lang w:val="en-US" w:eastAsia="zh-CN"/>
        </w:rPr>
        <w:t>邀请县级宣讲团做专题宣讲报告，</w:t>
      </w:r>
      <w:r>
        <w:rPr>
          <w:rFonts w:hint="default" w:ascii="Times New Roman" w:hAnsi="Times New Roman" w:eastAsia="方正仿宋_GBK" w:cs="方正仿宋_GBK"/>
          <w:color w:val="000000"/>
          <w:sz w:val="32"/>
          <w:szCs w:val="32"/>
          <w:lang w:val="en-US" w:eastAsia="zh-CN"/>
        </w:rPr>
        <w:t>强化科学理论武装，不断增强广大干部群众的法治观念。</w:t>
      </w:r>
      <w:r>
        <w:rPr>
          <w:rFonts w:hint="eastAsia" w:ascii="Times New Roman" w:hAnsi="Times New Roman" w:eastAsia="方正仿宋_GBK" w:cs="方正仿宋_GBK"/>
          <w:color w:val="000000"/>
          <w:sz w:val="32"/>
          <w:szCs w:val="32"/>
          <w:lang w:val="en-US" w:eastAsia="zh-CN"/>
        </w:rPr>
        <w:t>三是充分利用重庆干部网络学院对机关干部职工进行全面法治培训，2023年底组织机关全体干部参加法治理论知识考试，参考率、合格率均达到100%。</w:t>
      </w:r>
      <w:r>
        <w:rPr>
          <w:rFonts w:hint="default" w:ascii="Times New Roman" w:hAnsi="Times New Roman" w:eastAsia="方正仿宋_GBK" w:cs="方正仿宋_GBK"/>
          <w:color w:val="000000"/>
          <w:sz w:val="32"/>
          <w:szCs w:val="32"/>
          <w:lang w:val="en-US" w:eastAsia="zh-CN"/>
        </w:rPr>
        <w:t>202</w:t>
      </w:r>
      <w:r>
        <w:rPr>
          <w:rFonts w:hint="eastAsia" w:ascii="Times New Roman" w:hAnsi="Times New Roman" w:eastAsia="方正仿宋_GBK" w:cs="方正仿宋_GBK"/>
          <w:color w:val="000000"/>
          <w:sz w:val="32"/>
          <w:szCs w:val="32"/>
          <w:lang w:val="en-US" w:eastAsia="zh-CN"/>
        </w:rPr>
        <w:t>2</w:t>
      </w:r>
      <w:r>
        <w:rPr>
          <w:rFonts w:hint="default" w:ascii="Times New Roman" w:hAnsi="Times New Roman" w:eastAsia="方正仿宋_GBK" w:cs="方正仿宋_GBK"/>
          <w:color w:val="000000"/>
          <w:sz w:val="32"/>
          <w:szCs w:val="32"/>
          <w:lang w:val="en-US" w:eastAsia="zh-CN"/>
        </w:rPr>
        <w:t>年</w:t>
      </w:r>
      <w:r>
        <w:rPr>
          <w:rFonts w:hint="eastAsia" w:ascii="Times New Roman" w:hAnsi="Times New Roman" w:eastAsia="方正仿宋_GBK" w:cs="方正仿宋_GBK"/>
          <w:color w:val="000000"/>
          <w:sz w:val="32"/>
          <w:szCs w:val="32"/>
          <w:lang w:val="en-US" w:eastAsia="zh-CN"/>
        </w:rPr>
        <w:t>以来我镇组织党委班子成员召开</w:t>
      </w:r>
      <w:r>
        <w:rPr>
          <w:rFonts w:hint="default" w:ascii="Times New Roman" w:hAnsi="Times New Roman" w:eastAsia="方正仿宋_GBK" w:cs="方正仿宋_GBK"/>
          <w:color w:val="000000"/>
          <w:sz w:val="32"/>
          <w:szCs w:val="32"/>
          <w:lang w:val="en-US" w:eastAsia="zh-CN"/>
        </w:rPr>
        <w:t>法治专题学习</w:t>
      </w:r>
      <w:r>
        <w:rPr>
          <w:rFonts w:hint="eastAsia" w:ascii="Times New Roman" w:hAnsi="Times New Roman" w:eastAsia="方正仿宋_GBK" w:cs="方正仿宋_GBK"/>
          <w:color w:val="000000"/>
          <w:sz w:val="32"/>
          <w:szCs w:val="32"/>
          <w:lang w:val="en-US" w:eastAsia="zh-CN"/>
        </w:rPr>
        <w:t>研判会4</w:t>
      </w:r>
      <w:r>
        <w:rPr>
          <w:rFonts w:hint="default" w:ascii="Times New Roman" w:hAnsi="Times New Roman" w:eastAsia="方正仿宋_GBK" w:cs="方正仿宋_GBK"/>
          <w:color w:val="000000"/>
          <w:sz w:val="32"/>
          <w:szCs w:val="32"/>
          <w:lang w:val="en-US" w:eastAsia="zh-CN"/>
        </w:rPr>
        <w:t>次</w:t>
      </w:r>
      <w:r>
        <w:rPr>
          <w:rFonts w:hint="eastAsia" w:ascii="Times New Roman" w:hAnsi="Times New Roman" w:eastAsia="方正仿宋_GBK" w:cs="方正仿宋_GBK"/>
          <w:color w:val="000000"/>
          <w:sz w:val="32"/>
          <w:szCs w:val="32"/>
          <w:lang w:val="en-US" w:eastAsia="zh-CN"/>
        </w:rPr>
        <w:t>；组织镇村（社区）党员干部开展集中学习4余次；镇平安办联合镇司法所利用赶场日以及节假日等重要节点多次上街对辖区居民开展宣传教育活动。通过多途径，多渠道扎实开展学习宣传，切实推进法治建设，运用法治思维和法治方式深化改革、推动经济发展、化解信访矛盾、维护社会稳定。</w:t>
      </w:r>
    </w:p>
    <w:p w14:paraId="10B992AE">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lang w:val="en-US" w:eastAsia="zh-CN"/>
        </w:rPr>
      </w:pPr>
      <w:r>
        <w:rPr>
          <w:rFonts w:hint="eastAsia" w:ascii="方正楷体_GBK" w:hAnsi="方正楷体_GBK" w:eastAsia="方正楷体_GBK" w:cs="方正楷体_GBK"/>
          <w:b w:val="0"/>
          <w:bCs w:val="0"/>
          <w:color w:val="000000"/>
          <w:kern w:val="2"/>
          <w:sz w:val="32"/>
          <w:szCs w:val="32"/>
          <w:lang w:val="en-US" w:eastAsia="zh-CN" w:bidi="ar-SA"/>
        </w:rPr>
        <w:t>（二）健全政府机构职能体系。</w:t>
      </w:r>
      <w:r>
        <w:rPr>
          <w:rFonts w:hint="eastAsia" w:ascii="Times New Roman" w:hAnsi="Times New Roman" w:eastAsia="方正仿宋_GBK" w:cs="方正仿宋_GBK"/>
          <w:color w:val="000000"/>
          <w:sz w:val="32"/>
          <w:szCs w:val="32"/>
          <w:lang w:val="en-US" w:eastAsia="zh-CN"/>
        </w:rPr>
        <w:t>一是为提高政务公开工作效率,确保政府信息公开工作依法、有序进行，双土镇不断加强政务公开工作组织领导，完善政务公开工作机制，推动政务公开标准化规范化发展，认真落实政务公开的各项内容，依法行政，努力构造阳光型政府。二是全力推进放管服改革，优化营商环境。进一步规范审批流程，提升审批效率，完善审批文书。强化行政权力网上公开透明运行，及时主动公开法定内容。推进镇级公共服务大厅、村（社区）便民服务中心标准化、规范化、便利化建设，提升“渝快办”一体化政务服务平台服务能力。三是持续深入优化营商环境。广泛宣传并实施《优化营商环境条例》和《重庆市优化营商环境条例》，为企业健康发展提供法治护航，努力营造法治营商环境。</w:t>
      </w:r>
    </w:p>
    <w:p w14:paraId="7230CB8C">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 w:val="0"/>
          <w:color w:val="000000" w:themeColor="text1"/>
          <w:kern w:val="2"/>
          <w:sz w:val="32"/>
          <w:szCs w:val="32"/>
          <w:lang w:val="en-US" w:eastAsia="zh-CN" w:bidi="ar-SA"/>
          <w14:textFill>
            <w14:solidFill>
              <w14:schemeClr w14:val="tx1"/>
            </w14:solidFill>
          </w14:textFill>
        </w:rPr>
      </w:pPr>
      <w:r>
        <w:rPr>
          <w:rFonts w:hint="eastAsia" w:ascii="方正楷体_GBK" w:hAnsi="方正楷体_GBK" w:eastAsia="方正楷体_GBK" w:cs="方正楷体_GBK"/>
          <w:b w:val="0"/>
          <w:bCs w:val="0"/>
          <w:color w:val="000000"/>
          <w:kern w:val="2"/>
          <w:sz w:val="32"/>
          <w:szCs w:val="32"/>
          <w:lang w:val="en-US" w:eastAsia="zh-CN" w:bidi="ar-SA"/>
        </w:rPr>
        <w:t>（三）健全依法行政制度体系。</w:t>
      </w:r>
      <w:r>
        <w:rPr>
          <w:rFonts w:hint="eastAsia" w:ascii="Times New Roman" w:hAnsi="Times New Roman" w:eastAsia="方正仿宋_GBK" w:cs="方正仿宋_GBK"/>
          <w:b w:val="0"/>
          <w:color w:val="000000"/>
          <w:kern w:val="2"/>
          <w:sz w:val="32"/>
          <w:szCs w:val="32"/>
          <w:lang w:val="en-US" w:eastAsia="zh-CN" w:bidi="ar-SA"/>
        </w:rPr>
        <w:t>全面推进依法行政，提高政府工作人员依法行政能力，使法治政府治理更加规范化程序化法治化，为建设社会主义市场经济、民主政治、先进文化、和谐社会、生态文明，促进人的全面发展，提供有力制度保障。双土镇严格按照《重庆市行政规范性文件管理办法》，由党政办制定了行政规范性文件制定、合法性审查、文件清理等制度，并对规范性文件专人登记、专人编号、专人印发。</w:t>
      </w:r>
      <w:r>
        <w:rPr>
          <w:rFonts w:hint="eastAsia" w:ascii="Times New Roman" w:hAnsi="Times New Roman" w:eastAsia="方正仿宋_GBK" w:cs="方正仿宋_GBK"/>
          <w:b w:val="0"/>
          <w:color w:val="000000" w:themeColor="text1"/>
          <w:kern w:val="2"/>
          <w:sz w:val="32"/>
          <w:szCs w:val="32"/>
          <w:lang w:val="en-US" w:eastAsia="zh-CN" w:bidi="ar-SA"/>
          <w14:textFill>
            <w14:solidFill>
              <w14:schemeClr w14:val="tx1"/>
            </w14:solidFill>
          </w14:textFill>
        </w:rPr>
        <w:t>2023年我镇全年</w:t>
      </w:r>
      <w:r>
        <w:rPr>
          <w:rFonts w:hint="eastAsia" w:eastAsia="方正仿宋_GBK" w:cs="方正仿宋_GBK"/>
          <w:b w:val="0"/>
          <w:color w:val="000000" w:themeColor="text1"/>
          <w:kern w:val="2"/>
          <w:sz w:val="32"/>
          <w:szCs w:val="32"/>
          <w:lang w:val="en-US" w:eastAsia="zh-CN" w:bidi="ar-SA"/>
          <w14:textFill>
            <w14:solidFill>
              <w14:schemeClr w14:val="tx1"/>
            </w14:solidFill>
          </w14:textFill>
        </w:rPr>
        <w:t>未</w:t>
      </w:r>
      <w:r>
        <w:rPr>
          <w:rFonts w:hint="eastAsia" w:ascii="Times New Roman" w:hAnsi="Times New Roman" w:eastAsia="方正仿宋_GBK" w:cs="方正仿宋_GBK"/>
          <w:b w:val="0"/>
          <w:color w:val="000000" w:themeColor="text1"/>
          <w:kern w:val="2"/>
          <w:sz w:val="32"/>
          <w:szCs w:val="32"/>
          <w:lang w:val="en-US" w:eastAsia="zh-CN" w:bidi="ar-SA"/>
          <w14:textFill>
            <w14:solidFill>
              <w14:schemeClr w14:val="tx1"/>
            </w14:solidFill>
          </w14:textFill>
        </w:rPr>
        <w:t>制定行政规范性文件。</w:t>
      </w:r>
    </w:p>
    <w:p w14:paraId="7C8FF14D">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lang w:val="en-US" w:eastAsia="zh-CN"/>
        </w:rPr>
      </w:pPr>
      <w:r>
        <w:rPr>
          <w:rFonts w:hint="eastAsia" w:ascii="方正楷体_GBK" w:hAnsi="方正楷体_GBK" w:eastAsia="方正楷体_GBK" w:cs="方正楷体_GBK"/>
          <w:b w:val="0"/>
          <w:bCs w:val="0"/>
          <w:color w:val="000000"/>
          <w:kern w:val="2"/>
          <w:sz w:val="32"/>
          <w:szCs w:val="32"/>
          <w:lang w:val="en-US" w:eastAsia="zh-CN" w:bidi="ar-SA"/>
        </w:rPr>
        <w:t>（四）健全行政决策制度体系。</w:t>
      </w:r>
      <w:r>
        <w:rPr>
          <w:rFonts w:hint="eastAsia" w:eastAsia="方正仿宋_GBK" w:cs="方正仿宋_GBK"/>
          <w:b w:val="0"/>
          <w:color w:val="000000"/>
          <w:kern w:val="2"/>
          <w:sz w:val="32"/>
          <w:szCs w:val="32"/>
          <w:lang w:val="en-US" w:eastAsia="zh-CN" w:bidi="ar-SA"/>
        </w:rPr>
        <w:t>一是</w:t>
      </w:r>
      <w:r>
        <w:rPr>
          <w:rFonts w:hint="eastAsia" w:ascii="Times New Roman" w:hAnsi="Times New Roman" w:eastAsia="方正仿宋_GBK" w:cs="方正仿宋_GBK"/>
          <w:b w:val="0"/>
          <w:color w:val="000000"/>
          <w:kern w:val="2"/>
          <w:sz w:val="32"/>
          <w:szCs w:val="32"/>
          <w:lang w:val="en-US" w:eastAsia="zh-CN" w:bidi="ar-SA"/>
        </w:rPr>
        <w:t>完善依法决策机制。认真执行重大行政决策程序规定，把公众参与、专家论证、风险评估、合法性审查和集体讨论决定作为必经程序，按照集体领导、民主集中、个别酝酿、会议决定的原则决定重大事项。202</w:t>
      </w:r>
      <w:r>
        <w:rPr>
          <w:rFonts w:hint="eastAsia" w:eastAsia="方正仿宋_GBK" w:cs="方正仿宋_GBK"/>
          <w:b w:val="0"/>
          <w:color w:val="000000"/>
          <w:kern w:val="2"/>
          <w:sz w:val="32"/>
          <w:szCs w:val="32"/>
          <w:lang w:val="en-US" w:eastAsia="zh-CN" w:bidi="ar-SA"/>
        </w:rPr>
        <w:t>3</w:t>
      </w:r>
      <w:r>
        <w:rPr>
          <w:rFonts w:hint="eastAsia" w:ascii="Times New Roman" w:hAnsi="Times New Roman" w:eastAsia="方正仿宋_GBK" w:cs="方正仿宋_GBK"/>
          <w:b w:val="0"/>
          <w:color w:val="000000"/>
          <w:kern w:val="2"/>
          <w:sz w:val="32"/>
          <w:szCs w:val="32"/>
          <w:lang w:val="en-US" w:eastAsia="zh-CN" w:bidi="ar-SA"/>
        </w:rPr>
        <w:t>年全年召开党委会议</w:t>
      </w:r>
      <w:r>
        <w:rPr>
          <w:rFonts w:hint="default" w:ascii="Times New Roman" w:hAnsi="Times New Roman" w:eastAsia="方正仿宋_GBK" w:cs="方正仿宋_GBK"/>
          <w:b w:val="0"/>
          <w:color w:val="000000"/>
          <w:kern w:val="2"/>
          <w:sz w:val="32"/>
          <w:szCs w:val="32"/>
          <w:lang w:val="en-US" w:eastAsia="zh-CN" w:bidi="ar-SA"/>
        </w:rPr>
        <w:t>1</w:t>
      </w:r>
      <w:r>
        <w:rPr>
          <w:rFonts w:hint="eastAsia" w:eastAsia="方正仿宋_GBK" w:cs="方正仿宋_GBK"/>
          <w:b w:val="0"/>
          <w:color w:val="000000"/>
          <w:kern w:val="2"/>
          <w:sz w:val="32"/>
          <w:szCs w:val="32"/>
          <w:lang w:val="en-US" w:eastAsia="zh-CN" w:bidi="ar-SA"/>
        </w:rPr>
        <w:t>1</w:t>
      </w:r>
      <w:r>
        <w:rPr>
          <w:rFonts w:hint="default" w:ascii="Times New Roman" w:hAnsi="Times New Roman" w:eastAsia="方正仿宋_GBK" w:cs="方正仿宋_GBK"/>
          <w:b w:val="0"/>
          <w:color w:val="000000"/>
          <w:kern w:val="2"/>
          <w:sz w:val="32"/>
          <w:szCs w:val="32"/>
          <w:lang w:val="en-US" w:eastAsia="zh-CN" w:bidi="ar-SA"/>
        </w:rPr>
        <w:t>次，重大决策事项均通过集体讨论决定，并进一步规范了党委会会议记录和会议纪要，使各项讨论决定有据可查。</w:t>
      </w:r>
      <w:r>
        <w:rPr>
          <w:rFonts w:hint="eastAsia" w:eastAsia="方正仿宋_GBK" w:cs="方正仿宋_GBK"/>
          <w:b w:val="0"/>
          <w:color w:val="000000"/>
          <w:kern w:val="2"/>
          <w:sz w:val="32"/>
          <w:szCs w:val="32"/>
          <w:lang w:val="en-US" w:eastAsia="zh-CN" w:bidi="ar-SA"/>
        </w:rPr>
        <w:t>二是</w:t>
      </w:r>
      <w:r>
        <w:rPr>
          <w:rFonts w:hint="eastAsia" w:ascii="Times New Roman" w:hAnsi="Times New Roman" w:eastAsia="方正仿宋_GBK" w:cs="方正仿宋_GBK"/>
          <w:b w:val="0"/>
          <w:color w:val="000000"/>
          <w:kern w:val="2"/>
          <w:sz w:val="32"/>
          <w:szCs w:val="32"/>
          <w:lang w:val="en-US" w:eastAsia="zh-CN" w:bidi="ar-SA"/>
        </w:rPr>
        <w:t>发挥政府法律顾问作用。聘请专业律师作为法律顾问，覆盖全镇</w:t>
      </w:r>
      <w:r>
        <w:rPr>
          <w:rFonts w:hint="eastAsia" w:eastAsia="方正仿宋_GBK" w:cs="方正仿宋_GBK"/>
          <w:b w:val="0"/>
          <w:color w:val="000000"/>
          <w:kern w:val="2"/>
          <w:sz w:val="32"/>
          <w:szCs w:val="32"/>
          <w:lang w:val="en-US" w:eastAsia="zh-CN" w:bidi="ar-SA"/>
        </w:rPr>
        <w:t>11</w:t>
      </w:r>
      <w:r>
        <w:rPr>
          <w:rFonts w:hint="eastAsia" w:ascii="Times New Roman" w:hAnsi="Times New Roman" w:eastAsia="方正仿宋_GBK" w:cs="方正仿宋_GBK"/>
          <w:b w:val="0"/>
          <w:color w:val="000000"/>
          <w:kern w:val="2"/>
          <w:sz w:val="32"/>
          <w:szCs w:val="32"/>
          <w:lang w:val="en-US" w:eastAsia="zh-CN" w:bidi="ar-SA"/>
        </w:rPr>
        <w:t>个村（社区），多种途径参与政府重大事项决策和行政行为，为党委、政府决策及时提供法律意见</w:t>
      </w:r>
      <w:r>
        <w:rPr>
          <w:rFonts w:hint="eastAsia" w:eastAsia="方正仿宋_GBK" w:cs="方正仿宋_GBK"/>
          <w:b w:val="0"/>
          <w:color w:val="000000"/>
          <w:kern w:val="2"/>
          <w:sz w:val="32"/>
          <w:szCs w:val="32"/>
          <w:lang w:val="en-US" w:eastAsia="zh-CN" w:bidi="ar-SA"/>
        </w:rPr>
        <w:t>。</w:t>
      </w:r>
    </w:p>
    <w:p w14:paraId="18E8D66A">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eastAsia="方正仿宋_GBK" w:cs="方正仿宋_GBK"/>
          <w:b w:val="0"/>
          <w:color w:val="000000"/>
          <w:kern w:val="2"/>
          <w:sz w:val="32"/>
          <w:szCs w:val="32"/>
          <w:lang w:val="en-US" w:eastAsia="zh-CN" w:bidi="ar-SA"/>
        </w:rPr>
      </w:pPr>
      <w:r>
        <w:rPr>
          <w:rFonts w:hint="eastAsia" w:ascii="方正楷体_GBK" w:hAnsi="方正楷体_GBK" w:eastAsia="方正楷体_GBK" w:cs="方正楷体_GBK"/>
          <w:b w:val="0"/>
          <w:bCs w:val="0"/>
          <w:color w:val="000000"/>
          <w:kern w:val="2"/>
          <w:sz w:val="32"/>
          <w:szCs w:val="32"/>
          <w:lang w:val="en-US" w:eastAsia="zh-CN" w:bidi="ar-SA"/>
        </w:rPr>
        <w:t>（五）严格规范公正文明执法。</w:t>
      </w:r>
      <w:r>
        <w:rPr>
          <w:rFonts w:hint="eastAsia" w:eastAsia="方正仿宋_GBK" w:cs="方正仿宋_GBK"/>
          <w:b w:val="0"/>
          <w:color w:val="000000"/>
          <w:kern w:val="2"/>
          <w:sz w:val="32"/>
          <w:szCs w:val="32"/>
          <w:lang w:val="en-US" w:eastAsia="zh-CN" w:bidi="ar-SA"/>
        </w:rPr>
        <w:t>一是整合镇执法力量和资源，建立综合行政执法机制。创新执法方式，积极推行服务型执法模式，依法实施柔性执法方式，注重执法过程中“情理法”的统一，加强行政指导、行政奖励、说服教育、劝导示范等非强制性执法手段运用，落实轻微违法免罚和初次违法慎罚。二是严格落实“谁执法谁普法”制度，定期对辖区餐馆、药店、工地、加油站、烟花爆竹售卖点等重点执法领域开展严格执法。三是加强执法管理，全面推行行政执法“三项制度”，充分利用现场执法记录设备、视频监控设施等技术手段对行政执法活动全过程跟踪，确保所有执法工作有据可查，加强行政执法信息化建设，做好行政执法保障，加快推进科技执法。2023年以来，双土镇开展道路交通安全和运输执法领域突出问题专项整治活动 2次；综合执法大队开出 906张罚单，罚款6.177万元。</w:t>
      </w:r>
    </w:p>
    <w:p w14:paraId="49A9F3C5">
      <w:pPr>
        <w:pStyle w:val="11"/>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仿宋_GBK" w:cs="方正仿宋_GBK"/>
          <w:b w:val="0"/>
          <w:color w:val="000000"/>
          <w:kern w:val="2"/>
          <w:sz w:val="32"/>
          <w:szCs w:val="32"/>
          <w:lang w:val="en-US" w:eastAsia="zh-CN" w:bidi="ar-SA"/>
        </w:rPr>
      </w:pPr>
      <w:r>
        <w:rPr>
          <w:rFonts w:hint="eastAsia" w:ascii="方正楷体_GBK" w:hAnsi="方正楷体_GBK" w:eastAsia="方正楷体_GBK" w:cs="方正楷体_GBK"/>
          <w:b w:val="0"/>
          <w:bCs w:val="0"/>
          <w:color w:val="000000"/>
          <w:kern w:val="2"/>
          <w:sz w:val="32"/>
          <w:szCs w:val="32"/>
          <w:lang w:val="en-US" w:eastAsia="zh-CN" w:bidi="ar-SA"/>
        </w:rPr>
        <w:t>（六）提升处置突发事件能力。</w:t>
      </w:r>
      <w:r>
        <w:rPr>
          <w:rFonts w:hint="eastAsia" w:ascii="Times New Roman" w:hAnsi="Times New Roman" w:eastAsia="方正仿宋_GBK" w:cs="Times New Roman"/>
          <w:kern w:val="0"/>
          <w:sz w:val="32"/>
          <w:szCs w:val="32"/>
          <w:lang w:val="en-US" w:eastAsia="zh-CN"/>
        </w:rPr>
        <w:t>202</w:t>
      </w:r>
      <w:r>
        <w:rPr>
          <w:rFonts w:hint="eastAsia" w:eastAsia="方正仿宋_GBK" w:cs="Times New Roman"/>
          <w:kern w:val="0"/>
          <w:sz w:val="32"/>
          <w:szCs w:val="32"/>
          <w:lang w:val="en-US" w:eastAsia="zh-CN"/>
        </w:rPr>
        <w:t>3</w:t>
      </w:r>
      <w:r>
        <w:rPr>
          <w:rFonts w:hint="eastAsia" w:ascii="Times New Roman" w:hAnsi="Times New Roman" w:eastAsia="方正仿宋_GBK" w:cs="方正仿宋_GBK"/>
          <w:b w:val="0"/>
          <w:color w:val="000000"/>
          <w:kern w:val="2"/>
          <w:sz w:val="32"/>
          <w:szCs w:val="32"/>
          <w:lang w:val="en-US" w:eastAsia="zh-CN" w:bidi="ar-SA"/>
        </w:rPr>
        <w:t>年初我镇制定完善了</w:t>
      </w:r>
      <w:r>
        <w:rPr>
          <w:rFonts w:hint="eastAsia" w:eastAsia="方正仿宋_GBK" w:cs="方正仿宋_GBK"/>
          <w:b w:val="0"/>
          <w:color w:val="000000"/>
          <w:kern w:val="2"/>
          <w:sz w:val="32"/>
          <w:szCs w:val="32"/>
          <w:lang w:val="en-US" w:eastAsia="zh-CN" w:bidi="ar-SA"/>
        </w:rPr>
        <w:t>突发事件</w:t>
      </w:r>
      <w:r>
        <w:rPr>
          <w:rFonts w:hint="eastAsia" w:ascii="Times New Roman" w:hAnsi="Times New Roman" w:eastAsia="方正仿宋_GBK" w:cs="方正仿宋_GBK"/>
          <w:b w:val="0"/>
          <w:color w:val="000000"/>
          <w:kern w:val="2"/>
          <w:sz w:val="32"/>
          <w:szCs w:val="32"/>
          <w:lang w:val="en-US" w:eastAsia="zh-CN" w:bidi="ar-SA"/>
        </w:rPr>
        <w:t>应急预案，并按照预案定期开展应急演练，全年完成消防、地灾等应急演练60余次，动员党员、网格员等各类社会力量1200余人次，提高了依法应对和处置群体事件突发的能力。</w:t>
      </w:r>
    </w:p>
    <w:p w14:paraId="487C217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Times New Roman"/>
          <w:kern w:val="0"/>
          <w:sz w:val="32"/>
          <w:szCs w:val="32"/>
          <w:lang w:val="en-US" w:eastAsia="zh-CN" w:bidi="ar-SA"/>
        </w:rPr>
      </w:pPr>
      <w:r>
        <w:rPr>
          <w:rFonts w:hint="eastAsia" w:ascii="方正楷体_GBK" w:hAnsi="方正楷体_GBK" w:eastAsia="方正楷体_GBK" w:cs="方正楷体_GBK"/>
          <w:b w:val="0"/>
          <w:bCs w:val="0"/>
          <w:color w:val="000000"/>
          <w:kern w:val="2"/>
          <w:sz w:val="32"/>
          <w:szCs w:val="32"/>
          <w:lang w:val="en-US" w:eastAsia="zh-CN" w:bidi="ar-SA"/>
        </w:rPr>
        <w:t>（七）矛盾纠纷行政预防调处化解。</w:t>
      </w:r>
      <w:r>
        <w:rPr>
          <w:rFonts w:hint="eastAsia" w:ascii="Times New Roman" w:hAnsi="Times New Roman" w:eastAsia="方正仿宋_GBK" w:cs="Times New Roman"/>
          <w:kern w:val="0"/>
          <w:sz w:val="32"/>
          <w:szCs w:val="32"/>
          <w:lang w:val="en-US" w:eastAsia="zh-CN" w:bidi="ar-SA"/>
        </w:rPr>
        <w:t>始终坚持将矛盾纠纷排查化解作为维护社会平安稳定的重点工作，大力开展矛盾纠纷排查调处，突出政府职能。一是针对当前社会矛盾纠纷呈现多样性、群体性、综合性等新特征和发展趋势，坚持每月开展稳定形势分析，认真研究维稳工作面临的新情况和新问题，不断规范矛盾纠纷排查调处工作体系，在辖区11个村（社区）均配备法律顾问，成立了村级矛盾调解室，延伸矛盾调处网络到村组，形成各单位共同参与、齐抓共管的大调解格局。发挥人民调解、司法调解、行政调解的综合作用，及时协调督办重点矛盾纠纷，最大限度把矛盾纠纷化解在萌芽状态。全年共排查调处矛盾纠纷406起，调解成功率达到99%。妥善处理人民群众的内部矛盾，得到广大人民群众的高度认可。二是按时完成“重庆市村居法律顾问”和“法律明白人”平台登录、注册，接受居民网上咨询法律顾问1250余人次，开展“法律明白人”培训40</w:t>
      </w:r>
      <w:r>
        <w:rPr>
          <w:rFonts w:hint="eastAsia" w:eastAsia="方正仿宋_GBK" w:cs="Times New Roman"/>
          <w:kern w:val="0"/>
          <w:sz w:val="32"/>
          <w:szCs w:val="32"/>
          <w:lang w:val="en-US" w:eastAsia="zh-CN" w:bidi="ar-SA"/>
        </w:rPr>
        <w:t>余</w:t>
      </w:r>
      <w:r>
        <w:rPr>
          <w:rFonts w:hint="eastAsia" w:ascii="Times New Roman" w:hAnsi="Times New Roman" w:eastAsia="方正仿宋_GBK" w:cs="Times New Roman"/>
          <w:kern w:val="0"/>
          <w:sz w:val="32"/>
          <w:szCs w:val="32"/>
          <w:lang w:val="en-US" w:eastAsia="zh-CN" w:bidi="ar-SA"/>
        </w:rPr>
        <w:t>人次；全面推行法律顾问制度，镇法律顾问为重大决策、重大行政行为提供法律建议5条，</w:t>
      </w:r>
      <w:r>
        <w:rPr>
          <w:rFonts w:hint="eastAsia" w:eastAsia="方正仿宋_GBK" w:cs="Times New Roman"/>
          <w:kern w:val="0"/>
          <w:sz w:val="32"/>
          <w:szCs w:val="32"/>
          <w:lang w:val="en-US" w:eastAsia="zh-CN" w:bidi="ar-SA"/>
        </w:rPr>
        <w:t>多次</w:t>
      </w:r>
      <w:r>
        <w:rPr>
          <w:rFonts w:hint="eastAsia" w:ascii="Times New Roman" w:hAnsi="Times New Roman" w:eastAsia="方正仿宋_GBK" w:cs="Times New Roman"/>
          <w:kern w:val="0"/>
          <w:sz w:val="32"/>
          <w:szCs w:val="32"/>
          <w:lang w:val="en-US" w:eastAsia="zh-CN" w:bidi="ar-SA"/>
        </w:rPr>
        <w:t>参与起草、审查规范性文件、合同</w:t>
      </w:r>
      <w:r>
        <w:rPr>
          <w:rFonts w:hint="eastAsia" w:eastAsia="方正仿宋_GBK" w:cs="Times New Roman"/>
          <w:kern w:val="0"/>
          <w:sz w:val="32"/>
          <w:szCs w:val="32"/>
          <w:lang w:val="en-US" w:eastAsia="zh-CN" w:bidi="ar-SA"/>
        </w:rPr>
        <w:t>。</w:t>
      </w:r>
    </w:p>
    <w:p w14:paraId="6AC68D23">
      <w:pPr>
        <w:pStyle w:val="11"/>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color w:val="000000"/>
          <w:sz w:val="32"/>
          <w:szCs w:val="32"/>
          <w:lang w:val="en-US" w:eastAsia="zh-CN"/>
        </w:rPr>
      </w:pPr>
      <w:r>
        <w:rPr>
          <w:rFonts w:hint="eastAsia" w:ascii="方正楷体_GBK" w:hAnsi="方正楷体_GBK" w:eastAsia="方正楷体_GBK" w:cs="方正楷体_GBK"/>
          <w:b w:val="0"/>
          <w:bCs w:val="0"/>
          <w:color w:val="000000"/>
          <w:kern w:val="2"/>
          <w:sz w:val="32"/>
          <w:szCs w:val="32"/>
          <w:lang w:val="en-US" w:eastAsia="zh-CN" w:bidi="ar-SA"/>
        </w:rPr>
        <w:t>（八）强化行政权力监督。</w:t>
      </w:r>
      <w:r>
        <w:rPr>
          <w:rFonts w:hint="eastAsia" w:eastAsia="方正仿宋_GBK" w:cs="方正仿宋_GBK"/>
          <w:b w:val="0"/>
          <w:color w:val="000000"/>
          <w:kern w:val="2"/>
          <w:sz w:val="32"/>
          <w:szCs w:val="32"/>
          <w:lang w:val="en-US" w:eastAsia="zh-CN" w:bidi="ar-SA"/>
        </w:rPr>
        <w:t>一是自觉接受人大和政协监督。</w:t>
      </w:r>
      <w:r>
        <w:rPr>
          <w:rFonts w:hint="eastAsia" w:eastAsia="方正仿宋_GBK" w:cs="方正仿宋_GBK"/>
          <w:b w:val="0"/>
          <w:color w:val="000000" w:themeColor="text1"/>
          <w:kern w:val="2"/>
          <w:sz w:val="32"/>
          <w:szCs w:val="32"/>
          <w:lang w:val="en-US" w:eastAsia="zh-CN" w:bidi="ar-SA"/>
          <w14:textFill>
            <w14:solidFill>
              <w14:schemeClr w14:val="tx1"/>
            </w14:solidFill>
          </w14:textFill>
        </w:rPr>
        <w:t>2023年，双土镇</w:t>
      </w:r>
      <w:r>
        <w:rPr>
          <w:rFonts w:hint="eastAsia" w:eastAsia="方正仿宋_GBK" w:cs="方正仿宋_GBK"/>
          <w:color w:val="000000" w:themeColor="text1"/>
          <w:sz w:val="32"/>
          <w:szCs w:val="32"/>
          <w:lang w:val="en-US" w:eastAsia="zh-CN"/>
          <w14:textFill>
            <w14:solidFill>
              <w14:schemeClr w14:val="tx1"/>
            </w14:solidFill>
          </w14:textFill>
        </w:rPr>
        <w:t>召开</w:t>
      </w:r>
      <w:r>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t>人大会议2次，积极向</w:t>
      </w:r>
      <w:r>
        <w:rPr>
          <w:rFonts w:hint="eastAsia" w:eastAsia="方正仿宋_GBK" w:cs="方正仿宋_GBK"/>
          <w:color w:val="000000" w:themeColor="text1"/>
          <w:sz w:val="32"/>
          <w:szCs w:val="32"/>
          <w:lang w:val="en-US" w:eastAsia="zh-CN"/>
          <w14:textFill>
            <w14:solidFill>
              <w14:schemeClr w14:val="tx1"/>
            </w14:solidFill>
          </w14:textFill>
        </w:rPr>
        <w:t>镇</w:t>
      </w:r>
      <w:r>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t>人大代表们报告政府当前重点工作情况及财政预算执行情况，接受</w:t>
      </w:r>
      <w:r>
        <w:rPr>
          <w:rFonts w:hint="eastAsia" w:eastAsia="方正仿宋_GBK" w:cs="方正仿宋_GBK"/>
          <w:color w:val="000000" w:themeColor="text1"/>
          <w:sz w:val="32"/>
          <w:szCs w:val="32"/>
          <w:lang w:val="en-US" w:eastAsia="zh-CN"/>
          <w14:textFill>
            <w14:solidFill>
              <w14:schemeClr w14:val="tx1"/>
            </w14:solidFill>
          </w14:textFill>
        </w:rPr>
        <w:t>镇</w:t>
      </w:r>
      <w:r>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t>人大代表、群众的监督和建议意见；自觉接受</w:t>
      </w:r>
      <w:r>
        <w:rPr>
          <w:rFonts w:hint="eastAsia" w:eastAsia="方正仿宋_GBK" w:cs="方正仿宋_GBK"/>
          <w:color w:val="000000" w:themeColor="text1"/>
          <w:sz w:val="32"/>
          <w:szCs w:val="32"/>
          <w:lang w:val="en-US" w:eastAsia="zh-CN"/>
          <w14:textFill>
            <w14:solidFill>
              <w14:schemeClr w14:val="tx1"/>
            </w14:solidFill>
          </w14:textFill>
        </w:rPr>
        <w:t>镇</w:t>
      </w:r>
      <w:r>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t>人大代表对镇政府日常工作的监督，配合</w:t>
      </w:r>
      <w:r>
        <w:rPr>
          <w:rFonts w:hint="eastAsia" w:eastAsia="方正仿宋_GBK" w:cs="方正仿宋_GBK"/>
          <w:color w:val="000000" w:themeColor="text1"/>
          <w:sz w:val="32"/>
          <w:szCs w:val="32"/>
          <w:lang w:val="en-US" w:eastAsia="zh-CN"/>
          <w14:textFill>
            <w14:solidFill>
              <w14:schemeClr w14:val="tx1"/>
            </w14:solidFill>
          </w14:textFill>
        </w:rPr>
        <w:t>镇</w:t>
      </w:r>
      <w:r>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t>人大代表开展集中视察调研活动1场次</w:t>
      </w:r>
      <w:r>
        <w:rPr>
          <w:rFonts w:hint="eastAsia" w:eastAsia="方正仿宋_GBK" w:cs="方正仿宋_GBK"/>
          <w:color w:val="000000" w:themeColor="text1"/>
          <w:sz w:val="32"/>
          <w:szCs w:val="32"/>
          <w:lang w:val="en-US" w:eastAsia="zh-CN"/>
          <w14:textFill>
            <w14:solidFill>
              <w14:schemeClr w14:val="tx1"/>
            </w14:solidFill>
          </w14:textFill>
        </w:rPr>
        <w:t>。二是</w:t>
      </w:r>
      <w:r>
        <w:rPr>
          <w:rFonts w:hint="eastAsia" w:ascii="Times New Roman" w:hAnsi="Times New Roman" w:eastAsia="方正仿宋_GBK" w:cs="方正仿宋_GBK"/>
          <w:color w:val="000000" w:themeColor="text1"/>
          <w:sz w:val="32"/>
          <w:szCs w:val="32"/>
          <w14:textFill>
            <w14:solidFill>
              <w14:schemeClr w14:val="tx1"/>
            </w14:solidFill>
          </w14:textFill>
        </w:rPr>
        <w:t>积极开展党风廉政教育</w:t>
      </w:r>
      <w:r>
        <w:rPr>
          <w:rFonts w:hint="eastAsia" w:eastAsia="方正仿宋_GBK" w:cs="方正仿宋_GBK"/>
          <w:color w:val="000000" w:themeColor="text1"/>
          <w:sz w:val="32"/>
          <w:szCs w:val="32"/>
          <w:lang w:eastAsia="zh-CN"/>
          <w14:textFill>
            <w14:solidFill>
              <w14:schemeClr w14:val="tx1"/>
            </w14:solidFill>
          </w14:textFill>
        </w:rPr>
        <w:t>。</w:t>
      </w:r>
      <w:r>
        <w:rPr>
          <w:rFonts w:hint="eastAsia" w:eastAsia="方正仿宋_GBK" w:cs="方正仿宋_GBK"/>
          <w:color w:val="000000"/>
          <w:sz w:val="32"/>
          <w:szCs w:val="32"/>
          <w:lang w:val="en-US" w:eastAsia="zh-CN"/>
        </w:rPr>
        <w:t>结合</w:t>
      </w:r>
      <w:r>
        <w:rPr>
          <w:rFonts w:hint="eastAsia" w:ascii="Times New Roman" w:hAnsi="Times New Roman" w:eastAsia="方正仿宋_GBK" w:cs="方正仿宋_GBK"/>
          <w:color w:val="000000"/>
          <w:sz w:val="32"/>
          <w:szCs w:val="32"/>
          <w:lang w:val="en-US" w:eastAsia="zh-CN"/>
        </w:rPr>
        <w:t>每周五机关干部学习会</w:t>
      </w:r>
      <w:r>
        <w:rPr>
          <w:rFonts w:hint="eastAsia" w:eastAsia="方正仿宋_GBK" w:cs="方正仿宋_GBK"/>
          <w:color w:val="000000"/>
          <w:sz w:val="32"/>
          <w:szCs w:val="32"/>
          <w:lang w:val="en-US" w:eastAsia="zh-CN"/>
        </w:rPr>
        <w:t>，</w:t>
      </w:r>
      <w:r>
        <w:rPr>
          <w:rFonts w:hint="eastAsia" w:ascii="Times New Roman" w:hAnsi="Times New Roman" w:eastAsia="方正仿宋_GBK" w:cs="方正仿宋_GBK"/>
          <w:color w:val="000000"/>
          <w:sz w:val="32"/>
          <w:szCs w:val="32"/>
        </w:rPr>
        <w:t>多次组织专题教育学习，提高全体干部职工廉政意识，并且始终把群众的满意度作为评价工作成效的重要指标。</w:t>
      </w:r>
      <w:r>
        <w:rPr>
          <w:rFonts w:hint="eastAsia" w:eastAsia="方正仿宋_GBK" w:cs="方正仿宋_GBK"/>
          <w:color w:val="000000"/>
          <w:sz w:val="32"/>
          <w:szCs w:val="32"/>
          <w:lang w:eastAsia="zh-CN"/>
        </w:rPr>
        <w:t>三是</w:t>
      </w:r>
      <w:r>
        <w:rPr>
          <w:rFonts w:hint="eastAsia" w:eastAsia="方正仿宋_GBK" w:cs="方正仿宋_GBK"/>
          <w:color w:val="000000"/>
          <w:sz w:val="32"/>
          <w:szCs w:val="32"/>
          <w:lang w:val="en-US" w:eastAsia="zh-CN"/>
        </w:rPr>
        <w:t>落实</w:t>
      </w:r>
      <w:r>
        <w:rPr>
          <w:rFonts w:hint="eastAsia" w:ascii="Times New Roman" w:hAnsi="Times New Roman" w:eastAsia="方正仿宋_GBK" w:cs="方正仿宋_GBK"/>
          <w:color w:val="000000"/>
          <w:sz w:val="32"/>
          <w:szCs w:val="32"/>
          <w:lang w:val="en-US" w:eastAsia="zh-CN"/>
        </w:rPr>
        <w:t>政务公开</w:t>
      </w:r>
      <w:r>
        <w:rPr>
          <w:rFonts w:hint="default" w:ascii="Times New Roman" w:hAnsi="Times New Roman" w:eastAsia="方正仿宋_GBK" w:cs="方正仿宋_GBK"/>
          <w:color w:val="000000"/>
          <w:sz w:val="32"/>
          <w:szCs w:val="32"/>
          <w:lang w:val="en-US" w:eastAsia="zh-CN"/>
        </w:rPr>
        <w:t>制度</w:t>
      </w:r>
      <w:r>
        <w:rPr>
          <w:rFonts w:hint="eastAsia" w:eastAsia="方正仿宋_GBK" w:cs="方正仿宋_GBK"/>
          <w:color w:val="000000"/>
          <w:sz w:val="32"/>
          <w:szCs w:val="32"/>
          <w:lang w:val="en-US" w:eastAsia="zh-CN"/>
        </w:rPr>
        <w:t>。</w:t>
      </w:r>
      <w:r>
        <w:rPr>
          <w:rFonts w:hint="eastAsia" w:ascii="Times New Roman" w:hAnsi="Times New Roman" w:eastAsia="方正仿宋_GBK" w:cs="方正仿宋_GBK"/>
          <w:color w:val="000000"/>
          <w:sz w:val="32"/>
          <w:szCs w:val="32"/>
          <w:lang w:val="en-US" w:eastAsia="zh-CN"/>
        </w:rPr>
        <w:t>双土镇</w:t>
      </w:r>
      <w:r>
        <w:rPr>
          <w:rFonts w:hint="default" w:ascii="Times New Roman" w:hAnsi="Times New Roman" w:eastAsia="方正仿宋_GBK" w:cs="方正仿宋_GBK"/>
          <w:color w:val="000000"/>
          <w:sz w:val="32"/>
          <w:szCs w:val="32"/>
          <w:lang w:val="en-US" w:eastAsia="zh-CN"/>
        </w:rPr>
        <w:t>重要信息主动公开发布，接受社会各界监督</w:t>
      </w:r>
      <w:r>
        <w:rPr>
          <w:rFonts w:hint="eastAsia" w:eastAsia="方正仿宋_GBK" w:cs="方正仿宋_GBK"/>
          <w:color w:val="000000"/>
          <w:sz w:val="32"/>
          <w:szCs w:val="32"/>
          <w:lang w:val="en-US" w:eastAsia="zh-CN"/>
        </w:rPr>
        <w:t>，</w:t>
      </w:r>
      <w:r>
        <w:rPr>
          <w:rFonts w:hint="eastAsia" w:ascii="Times New Roman" w:hAnsi="Times New Roman" w:eastAsia="方正仿宋_GBK" w:cs="方正仿宋_GBK"/>
          <w:color w:val="000000"/>
          <w:sz w:val="32"/>
          <w:szCs w:val="32"/>
          <w:lang w:val="en-US" w:eastAsia="zh-CN"/>
        </w:rPr>
        <w:t>2023年，公开政府信息共2</w:t>
      </w:r>
      <w:r>
        <w:rPr>
          <w:rFonts w:hint="eastAsia" w:eastAsia="方正仿宋_GBK" w:cs="方正仿宋_GBK"/>
          <w:color w:val="000000"/>
          <w:sz w:val="32"/>
          <w:szCs w:val="32"/>
          <w:lang w:val="en-US" w:eastAsia="zh-CN"/>
        </w:rPr>
        <w:t>5</w:t>
      </w:r>
      <w:r>
        <w:rPr>
          <w:rFonts w:hint="eastAsia" w:ascii="Times New Roman" w:hAnsi="Times New Roman" w:eastAsia="方正仿宋_GBK" w:cs="方正仿宋_GBK"/>
          <w:color w:val="000000"/>
          <w:sz w:val="32"/>
          <w:szCs w:val="32"/>
          <w:lang w:val="en-US" w:eastAsia="zh-CN"/>
        </w:rPr>
        <w:t>条。</w:t>
      </w:r>
    </w:p>
    <w:p w14:paraId="63FE4E2B">
      <w:pPr>
        <w:pStyle w:val="11"/>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hint="eastAsia" w:eastAsia="方正仿宋_GBK" w:cs="方正仿宋_GBK"/>
          <w:color w:val="000000"/>
          <w:sz w:val="32"/>
          <w:szCs w:val="32"/>
          <w:lang w:val="en-US" w:eastAsia="zh-CN"/>
        </w:rPr>
      </w:pPr>
      <w:r>
        <w:rPr>
          <w:rFonts w:hint="eastAsia" w:ascii="方正楷体_GBK" w:hAnsi="方正楷体_GBK" w:eastAsia="方正楷体_GBK" w:cs="方正楷体_GBK"/>
          <w:b w:val="0"/>
          <w:bCs w:val="0"/>
          <w:color w:val="000000"/>
          <w:kern w:val="2"/>
          <w:sz w:val="32"/>
          <w:szCs w:val="32"/>
          <w:lang w:val="en-US" w:eastAsia="zh-CN" w:bidi="ar-SA"/>
        </w:rPr>
        <w:t>（九）加快建设数字法治政府。</w:t>
      </w:r>
      <w:r>
        <w:rPr>
          <w:rFonts w:hint="eastAsia" w:eastAsia="方正仿宋_GBK" w:cs="方正仿宋_GBK"/>
          <w:color w:val="000000"/>
          <w:sz w:val="32"/>
          <w:szCs w:val="32"/>
          <w:lang w:val="en-US" w:eastAsia="zh-CN"/>
        </w:rPr>
        <w:t>以“最多跑一次”政务服务为目标，积极运用“渝快办”平台移动端“亮证”“扫码”功能，加强高频电子证照在企业开办、不动产登记、社保、民政等领域的应用。依托“渝快办”平台“政策直通车”分类提供政策文件和权威解读，实现利企便民政策全景展示、“一站式”发布。</w:t>
      </w:r>
    </w:p>
    <w:p w14:paraId="65E5022A">
      <w:pPr>
        <w:keepNext w:val="0"/>
        <w:keepLines w:val="0"/>
        <w:pageBreakBefore w:val="0"/>
        <w:widowControl w:val="0"/>
        <w:kinsoku/>
        <w:overflowPunct/>
        <w:topLinePunct w:val="0"/>
        <w:autoSpaceDE/>
        <w:autoSpaceDN/>
        <w:bidi w:val="0"/>
        <w:adjustRightInd w:val="0"/>
        <w:snapToGrid/>
        <w:spacing w:line="578" w:lineRule="exact"/>
        <w:ind w:firstLine="640" w:firstLineChars="200"/>
        <w:textAlignment w:val="auto"/>
        <w:rPr>
          <w:rFonts w:hint="eastAsia" w:eastAsia="方正仿宋_GBK" w:cs="方正仿宋_GBK"/>
          <w:color w:val="000000"/>
          <w:sz w:val="32"/>
          <w:szCs w:val="32"/>
          <w:lang w:val="en-US" w:eastAsia="zh-CN"/>
        </w:rPr>
      </w:pPr>
      <w:r>
        <w:rPr>
          <w:rFonts w:hint="eastAsia" w:ascii="方正楷体_GBK" w:hAnsi="方正楷体_GBK" w:eastAsia="方正楷体_GBK" w:cs="方正楷体_GBK"/>
          <w:b w:val="0"/>
          <w:bCs w:val="0"/>
          <w:color w:val="000000"/>
          <w:kern w:val="2"/>
          <w:sz w:val="32"/>
          <w:szCs w:val="32"/>
          <w:lang w:val="en-US" w:eastAsia="zh-CN" w:bidi="ar-SA"/>
        </w:rPr>
        <w:t>（十）完善法治政府建设推进机制。</w:t>
      </w:r>
      <w:r>
        <w:rPr>
          <w:rFonts w:hint="eastAsia" w:eastAsia="方正仿宋_GBK" w:cs="方正仿宋_GBK"/>
          <w:color w:val="000000"/>
          <w:sz w:val="32"/>
          <w:szCs w:val="32"/>
          <w:lang w:val="en-US" w:eastAsia="zh-CN"/>
        </w:rPr>
        <w:t>一是提高法治政府建设督察工作实效。严格落实国家、市、县法治政府建设与责任落实督察工作的有关规定，完善相关配套制度，按照辖区实际，落实整改并积极上报。二是加大学习力度，建强干部队伍。利用理论学习中心组、民主生活会、专题教育等形式，组织党员干部认真学习贯彻落实习近平法治思想、中央全面依法治国工作会议精神及各种法律知识4次。针对工作实际和工作人员的思想状况，以强化思想教育、提高综合素质为宗旨，坚持机关工作人员学习制度，认真组织学习，增强机关工作人员法治政府建设意识，充分认识法治政府建设的重要意义。三是加强法治建设舆论宣传。2023年以来，多次积极开展内容丰富的法治培训、宣传活动，利用广播、板报、标语、宣传车、散发传单等形式，扎实推进了法律进机关、进乡村、进社区、进学校、进企业、进单位，使法制宣传教育横向到边，纵向到底。利用村级远程教育平台，认真组织各级干部共100余人学习相关的法律、法规，进一步提高了干部职工的法治意识。通过开展“八五”普法宣传及矛盾纠纷排查，激发了村级组织及广大村民学法、懂法、讲法、用法的积极性，促进农村和社区稳定和谐。组织政府机关干部参加法治理论知识考试，学深悟透法治理论知识。</w:t>
      </w:r>
    </w:p>
    <w:p w14:paraId="488CAE2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color w:val="000000"/>
          <w:sz w:val="32"/>
          <w:szCs w:val="32"/>
          <w:lang w:eastAsia="zh-CN"/>
        </w:rPr>
      </w:pPr>
      <w:r>
        <w:rPr>
          <w:rFonts w:hint="eastAsia" w:ascii="方正黑体_GBK" w:hAnsi="方正黑体_GBK" w:eastAsia="方正黑体_GBK" w:cs="方正黑体_GBK"/>
          <w:color w:val="000000"/>
          <w:sz w:val="32"/>
          <w:szCs w:val="32"/>
          <w:lang w:val="en-US" w:eastAsia="zh-CN"/>
        </w:rPr>
        <w:t>二、</w:t>
      </w:r>
      <w:r>
        <w:rPr>
          <w:rFonts w:hint="eastAsia" w:ascii="方正黑体_GBK" w:hAnsi="方正黑体_GBK" w:eastAsia="方正黑体_GBK" w:cs="方正黑体_GBK"/>
          <w:color w:val="000000"/>
          <w:sz w:val="32"/>
          <w:szCs w:val="32"/>
          <w:lang w:eastAsia="zh-CN"/>
        </w:rPr>
        <w:t>2023年党政主要负责人履行推进法治建设第一责任人职责，加强法治政府建设的有关情况。</w:t>
      </w:r>
    </w:p>
    <w:p w14:paraId="04BCB0B4">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 w:val="0"/>
          <w:color w:val="000000"/>
          <w:kern w:val="2"/>
          <w:sz w:val="32"/>
          <w:szCs w:val="32"/>
          <w:lang w:val="en-US" w:eastAsia="zh-CN" w:bidi="ar-SA"/>
        </w:rPr>
      </w:pPr>
      <w:r>
        <w:rPr>
          <w:rFonts w:hint="eastAsia" w:eastAsia="方正仿宋_GBK" w:cs="方正仿宋_GBK"/>
          <w:color w:val="000000"/>
          <w:sz w:val="32"/>
          <w:szCs w:val="32"/>
          <w:lang w:val="en-US" w:eastAsia="zh-CN"/>
        </w:rPr>
        <w:t>在县委、县政府的领导下，双土镇党政主要负责人积极履行推进法治建设第一责任人职责和法治政府建设责任，做法治建设的组织者、推动者和践行者，对法治建设重要工作进行部署、协调、督办，确保各项目标任务落实见效，把全镇各项工作纳入法治化轨道。一是</w:t>
      </w:r>
      <w:r>
        <w:rPr>
          <w:rFonts w:hint="eastAsia" w:ascii="Times New Roman" w:hAnsi="Times New Roman" w:eastAsia="方正仿宋_GBK" w:cs="方正仿宋_GBK"/>
          <w:b w:val="0"/>
          <w:color w:val="000000"/>
          <w:kern w:val="2"/>
          <w:sz w:val="32"/>
          <w:szCs w:val="32"/>
          <w:lang w:val="en-US" w:eastAsia="zh-CN" w:bidi="ar-SA"/>
        </w:rPr>
        <w:t>将履行推进法治建设第一责任人职责纳入主要领导年度述职内容，配齐配强了工作队伍，积极保证法治政府建设工作所需经费。</w:t>
      </w:r>
      <w:r>
        <w:rPr>
          <w:rFonts w:hint="eastAsia" w:eastAsia="方正仿宋_GBK" w:cs="方正仿宋_GBK"/>
          <w:b w:val="0"/>
          <w:color w:val="000000"/>
          <w:kern w:val="2"/>
          <w:sz w:val="32"/>
          <w:szCs w:val="32"/>
          <w:lang w:val="en-US" w:eastAsia="zh-CN" w:bidi="ar-SA"/>
        </w:rPr>
        <w:t>二是</w:t>
      </w:r>
      <w:r>
        <w:rPr>
          <w:rFonts w:hint="eastAsia" w:ascii="Times New Roman" w:hAnsi="Times New Roman" w:eastAsia="方正仿宋_GBK" w:cs="方正仿宋_GBK"/>
          <w:b w:val="0"/>
          <w:color w:val="000000"/>
          <w:kern w:val="2"/>
          <w:sz w:val="32"/>
          <w:szCs w:val="32"/>
          <w:lang w:val="en-US" w:eastAsia="zh-CN" w:bidi="ar-SA"/>
        </w:rPr>
        <w:t>将法治政府建设工作纳入202</w:t>
      </w:r>
      <w:r>
        <w:rPr>
          <w:rFonts w:hint="eastAsia" w:eastAsia="方正仿宋_GBK" w:cs="方正仿宋_GBK"/>
          <w:b w:val="0"/>
          <w:color w:val="000000"/>
          <w:kern w:val="2"/>
          <w:sz w:val="32"/>
          <w:szCs w:val="32"/>
          <w:lang w:val="en-US" w:eastAsia="zh-CN" w:bidi="ar-SA"/>
        </w:rPr>
        <w:t>3</w:t>
      </w:r>
      <w:r>
        <w:rPr>
          <w:rFonts w:hint="eastAsia" w:ascii="Times New Roman" w:hAnsi="Times New Roman" w:eastAsia="方正仿宋_GBK" w:cs="方正仿宋_GBK"/>
          <w:b w:val="0"/>
          <w:color w:val="000000"/>
          <w:kern w:val="2"/>
          <w:sz w:val="32"/>
          <w:szCs w:val="32"/>
          <w:lang w:val="en-US" w:eastAsia="zh-CN" w:bidi="ar-SA"/>
        </w:rPr>
        <w:t>年党委政府年度工作中，制定</w:t>
      </w:r>
      <w:r>
        <w:rPr>
          <w:rFonts w:hint="eastAsia" w:eastAsia="方正仿宋_GBK" w:cs="方正仿宋_GBK"/>
          <w:b w:val="0"/>
          <w:color w:val="000000"/>
          <w:kern w:val="2"/>
          <w:sz w:val="32"/>
          <w:szCs w:val="32"/>
          <w:lang w:val="en-US" w:eastAsia="zh-CN" w:bidi="ar-SA"/>
        </w:rPr>
        <w:t>了工作</w:t>
      </w:r>
      <w:r>
        <w:rPr>
          <w:rFonts w:hint="eastAsia" w:ascii="Times New Roman" w:hAnsi="Times New Roman" w:eastAsia="方正仿宋_GBK" w:cs="方正仿宋_GBK"/>
          <w:b w:val="0"/>
          <w:color w:val="000000"/>
          <w:kern w:val="2"/>
          <w:sz w:val="32"/>
          <w:szCs w:val="32"/>
          <w:lang w:val="en-US" w:eastAsia="zh-CN" w:bidi="ar-SA"/>
        </w:rPr>
        <w:t>方案，成立了由书记、镇长为第一责任人，分管政法的领导具体牵头负责，全体分管领导为成员的镇法治政府建设工作领导小组，领导小组成员分工负责，职责明确。领导小组下设办公室，由政法委员兼任办公室主任负责全镇法治政府建设日常工作，每季度汇总报告法治政府建设有关工作推进情况。</w:t>
      </w:r>
    </w:p>
    <w:p w14:paraId="51247836">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lang w:val="en-US" w:eastAsia="zh-CN"/>
        </w:rPr>
      </w:pPr>
      <w:r>
        <w:rPr>
          <w:rFonts w:hint="eastAsia" w:ascii="方正黑体_GBK" w:hAnsi="方正黑体_GBK" w:eastAsia="方正黑体_GBK" w:cs="方正黑体_GBK"/>
          <w:color w:val="000000"/>
          <w:sz w:val="32"/>
          <w:szCs w:val="32"/>
          <w:lang w:val="en-US" w:eastAsia="zh-CN"/>
        </w:rPr>
        <w:t>三、2023年推进法治政府建设存在的不足和原因。</w:t>
      </w:r>
    </w:p>
    <w:p w14:paraId="4C1139C2">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lang w:val="en-US" w:eastAsia="zh-CN"/>
        </w:rPr>
      </w:pPr>
      <w:r>
        <w:rPr>
          <w:rFonts w:hint="eastAsia" w:ascii="Times New Roman" w:hAnsi="Times New Roman" w:eastAsia="方正仿宋_GBK" w:cs="方正仿宋_GBK"/>
          <w:b w:val="0"/>
          <w:color w:val="000000"/>
          <w:kern w:val="2"/>
          <w:sz w:val="32"/>
          <w:szCs w:val="32"/>
          <w:lang w:val="en-US" w:eastAsia="zh-CN" w:bidi="ar-SA"/>
        </w:rPr>
        <w:t>2023年</w:t>
      </w:r>
      <w:r>
        <w:rPr>
          <w:rFonts w:hint="eastAsia" w:eastAsia="方正仿宋_GBK" w:cs="方正仿宋_GBK"/>
          <w:b w:val="0"/>
          <w:color w:val="000000"/>
          <w:kern w:val="2"/>
          <w:sz w:val="32"/>
          <w:szCs w:val="32"/>
          <w:lang w:val="en-US" w:eastAsia="zh-CN" w:bidi="ar-SA"/>
        </w:rPr>
        <w:t>双土镇在</w:t>
      </w:r>
      <w:r>
        <w:rPr>
          <w:rFonts w:hint="eastAsia" w:ascii="Times New Roman" w:hAnsi="Times New Roman" w:eastAsia="方正仿宋_GBK" w:cs="方正仿宋_GBK"/>
          <w:b w:val="0"/>
          <w:color w:val="000000"/>
          <w:kern w:val="2"/>
          <w:sz w:val="32"/>
          <w:szCs w:val="32"/>
          <w:lang w:val="en-US" w:eastAsia="zh-CN" w:bidi="ar-SA"/>
        </w:rPr>
        <w:t>推进法治政府建设取得了一定成效，但我们也清醒认识到工作中还存在一些不足和问题：一是法治意识还不够强，部分领导干部不善于自觉运用法治思维和法治方式处理问题、化解矛盾。</w:t>
      </w:r>
      <w:r>
        <w:rPr>
          <w:rFonts w:hint="eastAsia" w:eastAsia="方正仿宋_GBK" w:cs="方正仿宋_GBK"/>
          <w:b w:val="0"/>
          <w:color w:val="000000"/>
          <w:kern w:val="2"/>
          <w:sz w:val="32"/>
          <w:szCs w:val="32"/>
          <w:lang w:val="en-US" w:eastAsia="zh-CN" w:bidi="ar-SA"/>
        </w:rPr>
        <w:t>二</w:t>
      </w:r>
      <w:r>
        <w:rPr>
          <w:rFonts w:hint="eastAsia" w:ascii="Times New Roman" w:hAnsi="Times New Roman" w:eastAsia="方正仿宋_GBK" w:cs="方正仿宋_GBK"/>
          <w:b w:val="0"/>
          <w:color w:val="000000"/>
          <w:kern w:val="2"/>
          <w:sz w:val="32"/>
          <w:szCs w:val="32"/>
          <w:lang w:val="en-US" w:eastAsia="zh-CN" w:bidi="ar-SA"/>
        </w:rPr>
        <w:t>是公共法律服务还不能满足群众日益增长的需求，群众对基层公共法律服务工作的使用率偏低，资源供给能力仍有短板，解决人民群众急难愁盼问题还需加大力度。</w:t>
      </w:r>
    </w:p>
    <w:p w14:paraId="24C8133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方正黑体_GBK" w:hAnsi="方正黑体_GBK" w:eastAsia="方正黑体_GBK" w:cs="方正黑体_GBK"/>
          <w:color w:val="000000"/>
          <w:sz w:val="32"/>
          <w:szCs w:val="32"/>
          <w:lang w:val="en-US" w:eastAsia="zh-CN"/>
        </w:rPr>
      </w:pPr>
      <w:r>
        <w:rPr>
          <w:rFonts w:hint="eastAsia" w:ascii="方正黑体_GBK" w:hAnsi="方正黑体_GBK" w:eastAsia="方正黑体_GBK" w:cs="方正黑体_GBK"/>
          <w:color w:val="000000"/>
          <w:sz w:val="32"/>
          <w:szCs w:val="32"/>
          <w:lang w:val="en-US" w:eastAsia="zh-CN"/>
        </w:rPr>
        <w:t>四、2024年推进法治政府建设的工作安排。</w:t>
      </w:r>
    </w:p>
    <w:p w14:paraId="4C2544EB">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 w:val="0"/>
          <w:color w:val="000000"/>
          <w:kern w:val="2"/>
          <w:sz w:val="32"/>
          <w:szCs w:val="32"/>
          <w:lang w:val="en-US" w:eastAsia="zh-CN" w:bidi="ar-SA"/>
        </w:rPr>
      </w:pPr>
      <w:r>
        <w:rPr>
          <w:rFonts w:hint="eastAsia" w:eastAsia="方正仿宋_GBK" w:cs="方正仿宋_GBK"/>
          <w:b w:val="0"/>
          <w:color w:val="000000"/>
          <w:kern w:val="2"/>
          <w:sz w:val="32"/>
          <w:szCs w:val="32"/>
          <w:lang w:val="en-US" w:eastAsia="zh-CN" w:bidi="ar-SA"/>
        </w:rPr>
        <w:t>2024年，双土镇将持续深入贯彻落实习近平法治思想，</w:t>
      </w:r>
      <w:r>
        <w:rPr>
          <w:rFonts w:hint="eastAsia" w:ascii="Times New Roman" w:hAnsi="Times New Roman" w:eastAsia="方正仿宋_GBK" w:cs="方正仿宋_GBK"/>
          <w:b w:val="0"/>
          <w:color w:val="000000"/>
          <w:kern w:val="2"/>
          <w:sz w:val="32"/>
          <w:szCs w:val="32"/>
          <w:lang w:val="en-US" w:eastAsia="zh-CN" w:bidi="ar-SA"/>
        </w:rPr>
        <w:t>加强法治政府建设</w:t>
      </w:r>
      <w:r>
        <w:rPr>
          <w:rFonts w:hint="eastAsia" w:eastAsia="方正仿宋_GBK" w:cs="方正仿宋_GBK"/>
          <w:b w:val="0"/>
          <w:color w:val="000000"/>
          <w:kern w:val="2"/>
          <w:sz w:val="32"/>
          <w:szCs w:val="32"/>
          <w:lang w:val="en-US" w:eastAsia="zh-CN" w:bidi="ar-SA"/>
        </w:rPr>
        <w:t>，更大力度强化法治思想，引领全社会法治建设。</w:t>
      </w:r>
    </w:p>
    <w:p w14:paraId="31C53B98">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 w:val="0"/>
          <w:color w:val="000000"/>
          <w:kern w:val="2"/>
          <w:sz w:val="32"/>
          <w:szCs w:val="32"/>
          <w:lang w:val="en-US" w:eastAsia="zh-CN" w:bidi="ar-SA"/>
        </w:rPr>
      </w:pPr>
      <w:r>
        <w:rPr>
          <w:rFonts w:hint="eastAsia" w:ascii="方正楷体_GBK" w:hAnsi="方正楷体_GBK" w:eastAsia="方正楷体_GBK" w:cs="方正楷体_GBK"/>
          <w:b w:val="0"/>
          <w:color w:val="000000"/>
          <w:kern w:val="2"/>
          <w:sz w:val="32"/>
          <w:szCs w:val="32"/>
          <w:lang w:val="en-US" w:eastAsia="zh-CN" w:bidi="ar-SA"/>
        </w:rPr>
        <w:t>（一）大力提升依法行政能力和水平。</w:t>
      </w:r>
      <w:r>
        <w:rPr>
          <w:rFonts w:hint="eastAsia" w:ascii="Times New Roman" w:hAnsi="Times New Roman" w:eastAsia="方正仿宋_GBK" w:cs="方正仿宋_GBK"/>
          <w:b w:val="0"/>
          <w:color w:val="000000"/>
          <w:kern w:val="2"/>
          <w:sz w:val="32"/>
          <w:szCs w:val="32"/>
          <w:lang w:val="en-US" w:eastAsia="zh-CN" w:bidi="ar-SA"/>
        </w:rPr>
        <w:t>持续抓好习近平法治思想的学习宣传，督促引导广大党员干部坚持用习近平法治思想武装头脑、指导实践、推动工作。提升领导干部这个“关键少数”的法治能力，加大行政执法队伍的培训力度。</w:t>
      </w:r>
    </w:p>
    <w:p w14:paraId="0BE359CE">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 w:val="0"/>
          <w:color w:val="000000"/>
          <w:kern w:val="2"/>
          <w:sz w:val="32"/>
          <w:szCs w:val="32"/>
          <w:lang w:val="en-US" w:eastAsia="zh-CN" w:bidi="ar-SA"/>
        </w:rPr>
      </w:pPr>
      <w:r>
        <w:rPr>
          <w:rFonts w:hint="eastAsia" w:ascii="方正楷体_GBK" w:hAnsi="方正楷体_GBK" w:eastAsia="方正楷体_GBK" w:cs="方正楷体_GBK"/>
          <w:b w:val="0"/>
          <w:color w:val="000000"/>
          <w:kern w:val="2"/>
          <w:sz w:val="32"/>
          <w:szCs w:val="32"/>
          <w:lang w:val="en-US" w:eastAsia="zh-CN" w:bidi="ar-SA"/>
        </w:rPr>
        <w:t>（二）大力推动普法工作提质增效。</w:t>
      </w:r>
      <w:r>
        <w:rPr>
          <w:rFonts w:hint="eastAsia" w:ascii="Times New Roman" w:hAnsi="Times New Roman" w:eastAsia="方正仿宋_GBK" w:cs="方正仿宋_GBK"/>
          <w:b w:val="0"/>
          <w:color w:val="000000"/>
          <w:kern w:val="2"/>
          <w:sz w:val="32"/>
          <w:szCs w:val="32"/>
          <w:lang w:val="en-US" w:eastAsia="zh-CN" w:bidi="ar-SA"/>
        </w:rPr>
        <w:t>推动“八五”普法规划和决议全面贯彻落实，围绕解决“谁来普、给谁普、普什么、怎么普、如何普好”的问题，深入实施“法律明白人”、法治文化阵地优化工程，全方位、全领域持续深化精准普法工作。</w:t>
      </w:r>
    </w:p>
    <w:p w14:paraId="11E4A014">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 w:val="0"/>
          <w:color w:val="000000"/>
          <w:kern w:val="2"/>
          <w:sz w:val="32"/>
          <w:szCs w:val="32"/>
          <w:lang w:val="en-US" w:eastAsia="zh-CN" w:bidi="ar-SA"/>
        </w:rPr>
      </w:pPr>
      <w:r>
        <w:rPr>
          <w:rFonts w:hint="eastAsia" w:ascii="方正楷体_GBK" w:hAnsi="方正楷体_GBK" w:eastAsia="方正楷体_GBK" w:cs="方正楷体_GBK"/>
          <w:b w:val="0"/>
          <w:color w:val="000000"/>
          <w:kern w:val="2"/>
          <w:sz w:val="32"/>
          <w:szCs w:val="32"/>
          <w:lang w:val="en-US" w:eastAsia="zh-CN" w:bidi="ar-SA"/>
        </w:rPr>
        <w:t>（三）持续做好法治政府建设常态化工作。</w:t>
      </w:r>
      <w:r>
        <w:rPr>
          <w:rFonts w:hint="eastAsia" w:ascii="Times New Roman" w:hAnsi="Times New Roman" w:eastAsia="方正仿宋_GBK" w:cs="方正仿宋_GBK"/>
          <w:b w:val="0"/>
          <w:color w:val="000000"/>
          <w:kern w:val="2"/>
          <w:sz w:val="32"/>
          <w:szCs w:val="32"/>
          <w:lang w:val="en-US" w:eastAsia="zh-CN" w:bidi="ar-SA"/>
        </w:rPr>
        <w:t>聚焦经济社会发展急需完善制度建设，加强重大行政决策的规范管理，大力推动诉源治理。</w:t>
      </w:r>
    </w:p>
    <w:p w14:paraId="57E1DC9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 w:val="0"/>
          <w:color w:val="000000"/>
          <w:kern w:val="2"/>
          <w:sz w:val="32"/>
          <w:szCs w:val="32"/>
          <w:lang w:val="en-US" w:eastAsia="zh-CN" w:bidi="ar-SA"/>
        </w:rPr>
      </w:pPr>
      <w:r>
        <w:rPr>
          <w:rFonts w:hint="eastAsia" w:eastAsia="方正仿宋_GBK" w:cs="方正仿宋_GBK"/>
          <w:b w:val="0"/>
          <w:color w:val="000000"/>
          <w:kern w:val="2"/>
          <w:sz w:val="32"/>
          <w:szCs w:val="32"/>
          <w:lang w:val="en-US" w:eastAsia="zh-CN" w:bidi="ar-SA"/>
        </w:rPr>
        <w:t>特此</w:t>
      </w:r>
      <w:r>
        <w:rPr>
          <w:rFonts w:hint="eastAsia" w:ascii="Times New Roman" w:hAnsi="Times New Roman" w:eastAsia="方正仿宋_GBK" w:cs="方正仿宋_GBK"/>
          <w:b w:val="0"/>
          <w:color w:val="000000"/>
          <w:kern w:val="2"/>
          <w:sz w:val="32"/>
          <w:szCs w:val="32"/>
          <w:lang w:val="en-US" w:eastAsia="zh-CN" w:bidi="ar-SA"/>
        </w:rPr>
        <w:t>报告</w:t>
      </w:r>
    </w:p>
    <w:p w14:paraId="7BA1745C">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 w:val="0"/>
          <w:color w:val="000000"/>
          <w:kern w:val="2"/>
          <w:sz w:val="32"/>
          <w:szCs w:val="32"/>
          <w:lang w:val="en-US" w:eastAsia="zh-CN" w:bidi="ar-SA"/>
        </w:rPr>
      </w:pPr>
    </w:p>
    <w:p w14:paraId="1CC463E6">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 w:val="0"/>
          <w:color w:val="000000"/>
          <w:kern w:val="2"/>
          <w:sz w:val="32"/>
          <w:szCs w:val="32"/>
          <w:lang w:val="en-US" w:eastAsia="zh-CN" w:bidi="ar-SA"/>
        </w:rPr>
      </w:pPr>
    </w:p>
    <w:p w14:paraId="20E771C5">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Times New Roman" w:hAnsi="Times New Roman" w:eastAsia="方正仿宋_GBK" w:cs="方正仿宋_GBK"/>
          <w:b w:val="0"/>
          <w:color w:val="000000"/>
          <w:kern w:val="2"/>
          <w:sz w:val="32"/>
          <w:szCs w:val="32"/>
          <w:lang w:val="en-US" w:eastAsia="zh-CN" w:bidi="ar-SA"/>
        </w:rPr>
      </w:pPr>
    </w:p>
    <w:p w14:paraId="7BAE7A5B">
      <w:pPr>
        <w:keepNext w:val="0"/>
        <w:keepLines w:val="0"/>
        <w:pageBreakBefore w:val="0"/>
        <w:widowControl w:val="0"/>
        <w:kinsoku/>
        <w:wordWrap w:val="0"/>
        <w:overflowPunct/>
        <w:topLinePunct w:val="0"/>
        <w:autoSpaceDE/>
        <w:autoSpaceDN/>
        <w:bidi w:val="0"/>
        <w:adjustRightInd/>
        <w:snapToGrid/>
        <w:spacing w:line="578" w:lineRule="exact"/>
        <w:ind w:right="859" w:rightChars="409"/>
        <w:jc w:val="right"/>
        <w:textAlignment w:val="auto"/>
        <w:rPr>
          <w:rFonts w:hint="eastAsia" w:eastAsia="方正仿宋_GBK"/>
          <w:sz w:val="32"/>
          <w:szCs w:val="32"/>
        </w:rPr>
      </w:pPr>
      <w:r>
        <w:rPr>
          <w:rFonts w:hint="eastAsia" w:eastAsia="方正仿宋_GBK"/>
          <w:sz w:val="32"/>
          <w:szCs w:val="32"/>
        </w:rPr>
        <w:t>中共</w:t>
      </w:r>
      <w:r>
        <w:rPr>
          <w:rFonts w:hint="eastAsia" w:eastAsia="方正仿宋_GBK"/>
          <w:sz w:val="32"/>
          <w:szCs w:val="32"/>
          <w:lang w:val="en-US" w:eastAsia="zh-CN"/>
        </w:rPr>
        <w:t>云阳县</w:t>
      </w:r>
      <w:r>
        <w:rPr>
          <w:rFonts w:hint="eastAsia" w:eastAsia="方正仿宋_GBK"/>
          <w:sz w:val="32"/>
          <w:szCs w:val="32"/>
        </w:rPr>
        <w:t>双土镇委员会</w:t>
      </w:r>
    </w:p>
    <w:p w14:paraId="75A88138">
      <w:pPr>
        <w:keepNext w:val="0"/>
        <w:keepLines w:val="0"/>
        <w:pageBreakBefore w:val="0"/>
        <w:widowControl w:val="0"/>
        <w:kinsoku/>
        <w:wordWrap w:val="0"/>
        <w:overflowPunct/>
        <w:topLinePunct w:val="0"/>
        <w:autoSpaceDE/>
        <w:autoSpaceDN/>
        <w:bidi w:val="0"/>
        <w:adjustRightInd/>
        <w:snapToGrid/>
        <w:spacing w:line="578" w:lineRule="exact"/>
        <w:ind w:right="932" w:rightChars="444"/>
        <w:jc w:val="right"/>
        <w:textAlignment w:val="auto"/>
        <w:rPr>
          <w:rFonts w:hint="default" w:eastAsia="方正仿宋_GBK"/>
          <w:sz w:val="32"/>
          <w:szCs w:val="32"/>
          <w:lang w:val="en-US" w:eastAsia="zh-CN"/>
        </w:rPr>
      </w:pPr>
      <w:r>
        <w:rPr>
          <w:rFonts w:hint="eastAsia" w:eastAsia="方正仿宋_GBK"/>
          <w:sz w:val="32"/>
          <w:szCs w:val="32"/>
          <w:lang w:val="en-US" w:eastAsia="zh-CN"/>
        </w:rPr>
        <w:t>云阳县双土镇人民政府</w:t>
      </w:r>
    </w:p>
    <w:p w14:paraId="58DABA9E">
      <w:pPr>
        <w:keepNext w:val="0"/>
        <w:keepLines w:val="0"/>
        <w:pageBreakBefore w:val="0"/>
        <w:widowControl w:val="0"/>
        <w:kinsoku/>
        <w:wordWrap/>
        <w:overflowPunct/>
        <w:topLinePunct w:val="0"/>
        <w:autoSpaceDE/>
        <w:autoSpaceDN/>
        <w:bidi w:val="0"/>
        <w:adjustRightInd/>
        <w:snapToGrid/>
        <w:spacing w:line="578" w:lineRule="exact"/>
        <w:ind w:right="1260" w:rightChars="600"/>
        <w:jc w:val="right"/>
        <w:textAlignment w:val="auto"/>
        <w:rPr>
          <w:rFonts w:hint="eastAsia"/>
          <w:lang w:val="en-US" w:eastAsia="zh-CN"/>
        </w:rPr>
      </w:pPr>
      <w:r>
        <w:rPr>
          <w:rFonts w:eastAsia="方正仿宋_GBK"/>
          <w:sz w:val="32"/>
          <w:szCs w:val="32"/>
        </w:rPr>
        <w:t>202</w:t>
      </w:r>
      <w:r>
        <w:rPr>
          <w:rFonts w:hint="eastAsia" w:eastAsia="方正仿宋_GBK"/>
          <w:sz w:val="32"/>
          <w:szCs w:val="32"/>
          <w:lang w:val="en-US" w:eastAsia="zh-CN"/>
        </w:rPr>
        <w:t>4</w:t>
      </w:r>
      <w:r>
        <w:rPr>
          <w:rFonts w:eastAsia="方正仿宋_GBK"/>
          <w:sz w:val="32"/>
          <w:szCs w:val="32"/>
        </w:rPr>
        <w:t>年</w:t>
      </w:r>
      <w:r>
        <w:rPr>
          <w:rFonts w:hint="eastAsia" w:eastAsia="方正仿宋_GBK"/>
          <w:sz w:val="32"/>
          <w:szCs w:val="32"/>
          <w:lang w:val="en-US" w:eastAsia="zh-CN"/>
        </w:rPr>
        <w:t>1</w:t>
      </w:r>
      <w:r>
        <w:rPr>
          <w:rFonts w:eastAsia="方正仿宋_GBK"/>
          <w:sz w:val="32"/>
          <w:szCs w:val="32"/>
        </w:rPr>
        <w:t>月</w:t>
      </w:r>
      <w:r>
        <w:rPr>
          <w:rFonts w:hint="eastAsia" w:eastAsia="方正仿宋_GBK"/>
          <w:sz w:val="32"/>
          <w:szCs w:val="32"/>
          <w:lang w:val="en-US" w:eastAsia="zh-CN"/>
        </w:rPr>
        <w:t>15</w:t>
      </w:r>
      <w:r>
        <w:rPr>
          <w:rFonts w:eastAsia="方正仿宋_GBK"/>
          <w:sz w:val="32"/>
          <w:szCs w:val="32"/>
        </w:rPr>
        <w:t>日</w:t>
      </w:r>
    </w:p>
    <w:p w14:paraId="54AF7BF9">
      <w:pPr>
        <w:pStyle w:val="11"/>
        <w:keepNext w:val="0"/>
        <w:keepLines w:val="0"/>
        <w:pageBreakBefore w:val="0"/>
        <w:widowControl w:val="0"/>
        <w:kinsoku/>
        <w:overflowPunct/>
        <w:topLinePunct w:val="0"/>
        <w:autoSpaceDE/>
        <w:autoSpaceDN/>
        <w:bidi w:val="0"/>
        <w:adjustRightInd/>
        <w:snapToGrid/>
        <w:spacing w:line="578" w:lineRule="exact"/>
        <w:ind w:left="0" w:leftChars="0" w:firstLine="0" w:firstLineChars="0"/>
        <w:textAlignment w:val="auto"/>
        <w:rPr>
          <w:rFonts w:hint="eastAsia"/>
          <w:lang w:val="en-US" w:eastAsia="zh-CN"/>
        </w:rPr>
      </w:pPr>
    </w:p>
    <w:p w14:paraId="20DA2FA8">
      <w:pPr>
        <w:rPr>
          <w:rFonts w:hint="eastAsia"/>
          <w:lang w:val="en-US" w:eastAsia="zh-CN"/>
        </w:rPr>
      </w:pPr>
    </w:p>
    <w:p w14:paraId="72C36484">
      <w:pPr>
        <w:rPr>
          <w:rFonts w:hint="eastAsia"/>
          <w:lang w:val="en-US" w:eastAsia="zh-CN"/>
        </w:rPr>
      </w:pPr>
    </w:p>
    <w:p w14:paraId="1DB00803">
      <w:pPr>
        <w:keepNext w:val="0"/>
        <w:keepLines w:val="0"/>
        <w:pageBreakBefore w:val="0"/>
        <w:widowControl w:val="0"/>
        <w:kinsoku/>
        <w:wordWrap w:val="0"/>
        <w:overflowPunct/>
        <w:topLinePunct w:val="0"/>
        <w:autoSpaceDE/>
        <w:autoSpaceDN/>
        <w:bidi w:val="0"/>
        <w:adjustRightInd/>
        <w:snapToGrid/>
        <w:spacing w:line="578" w:lineRule="exact"/>
        <w:ind w:right="932" w:rightChars="444"/>
        <w:jc w:val="both"/>
        <w:textAlignment w:val="auto"/>
        <w:rPr>
          <w:rFonts w:hint="eastAsia" w:eastAsia="方正仿宋_GBK"/>
          <w:sz w:val="32"/>
          <w:szCs w:val="32"/>
          <w:lang w:val="en-US" w:eastAsia="zh-CN"/>
        </w:rPr>
      </w:pPr>
      <w:r>
        <w:rPr>
          <w:rFonts w:hint="eastAsia" w:eastAsia="方正仿宋_GBK"/>
          <w:sz w:val="32"/>
          <w:szCs w:val="32"/>
          <w:lang w:val="en-US" w:eastAsia="zh-CN"/>
        </w:rPr>
        <w:t>(此件公开发布）</w:t>
      </w:r>
    </w:p>
    <w:p w14:paraId="72E5F131">
      <w:pPr>
        <w:rPr>
          <w:rFonts w:hint="eastAsia"/>
          <w:lang w:val="en-US" w:eastAsia="zh-CN"/>
        </w:rPr>
      </w:pPr>
    </w:p>
    <w:p w14:paraId="3828586D">
      <w:pPr>
        <w:rPr>
          <w:rFonts w:hint="eastAsia"/>
          <w:lang w:val="en-US" w:eastAsia="zh-CN"/>
        </w:rPr>
      </w:pPr>
    </w:p>
    <w:p w14:paraId="67A8DB81">
      <w:pPr>
        <w:rPr>
          <w:rFonts w:hint="eastAsia"/>
          <w:lang w:val="en-US" w:eastAsia="zh-CN"/>
        </w:rPr>
      </w:pPr>
    </w:p>
    <w:p w14:paraId="79DF284C">
      <w:pPr>
        <w:rPr>
          <w:rFonts w:hint="eastAsia"/>
          <w:lang w:val="en-US" w:eastAsia="zh-CN"/>
        </w:rPr>
      </w:pPr>
    </w:p>
    <w:p w14:paraId="32F0D0FE">
      <w:pPr>
        <w:rPr>
          <w:rFonts w:hint="eastAsia"/>
          <w:lang w:val="en-US" w:eastAsia="zh-CN"/>
        </w:rPr>
      </w:pPr>
    </w:p>
    <w:p w14:paraId="231D8361">
      <w:pPr>
        <w:rPr>
          <w:rFonts w:hint="eastAsia"/>
          <w:lang w:val="en-US" w:eastAsia="zh-CN"/>
        </w:rPr>
      </w:pPr>
    </w:p>
    <w:p w14:paraId="58057821">
      <w:pPr>
        <w:rPr>
          <w:rFonts w:hint="eastAsia"/>
          <w:lang w:val="en-US" w:eastAsia="zh-CN"/>
        </w:rPr>
      </w:pPr>
    </w:p>
    <w:p w14:paraId="2EC7B838">
      <w:pPr>
        <w:rPr>
          <w:rFonts w:hint="eastAsia"/>
          <w:lang w:val="en-US" w:eastAsia="zh-CN"/>
        </w:rPr>
      </w:pPr>
    </w:p>
    <w:p w14:paraId="3C880AF4">
      <w:pPr>
        <w:rPr>
          <w:rFonts w:hint="eastAsia"/>
          <w:lang w:val="en-US" w:eastAsia="zh-CN"/>
        </w:rPr>
      </w:pPr>
    </w:p>
    <w:p w14:paraId="655C1CEA">
      <w:pPr>
        <w:rPr>
          <w:rFonts w:hint="eastAsia"/>
          <w:lang w:val="en-US" w:eastAsia="zh-CN"/>
        </w:rPr>
      </w:pPr>
    </w:p>
    <w:p w14:paraId="1A94DB13">
      <w:pPr>
        <w:rPr>
          <w:rFonts w:hint="eastAsia"/>
          <w:lang w:val="en-US" w:eastAsia="zh-CN"/>
        </w:rPr>
      </w:pPr>
    </w:p>
    <w:p w14:paraId="44134487">
      <w:pPr>
        <w:rPr>
          <w:rFonts w:hint="eastAsia"/>
          <w:lang w:val="en-US" w:eastAsia="zh-CN"/>
        </w:rPr>
      </w:pPr>
    </w:p>
    <w:p w14:paraId="766206AC">
      <w:pPr>
        <w:rPr>
          <w:rFonts w:hint="eastAsia"/>
          <w:lang w:val="en-US" w:eastAsia="zh-CN"/>
        </w:rPr>
      </w:pPr>
    </w:p>
    <w:p w14:paraId="10F4B6BD">
      <w:pPr>
        <w:rPr>
          <w:rFonts w:hint="eastAsia"/>
          <w:lang w:val="en-US" w:eastAsia="zh-CN"/>
        </w:rPr>
      </w:pPr>
    </w:p>
    <w:p w14:paraId="7F3FDF35">
      <w:pPr>
        <w:rPr>
          <w:rFonts w:hint="eastAsia"/>
          <w:lang w:val="en-US" w:eastAsia="zh-CN"/>
        </w:rPr>
      </w:pPr>
    </w:p>
    <w:p w14:paraId="206D26D4">
      <w:pPr>
        <w:rPr>
          <w:rFonts w:hint="eastAsia"/>
          <w:lang w:val="en-US" w:eastAsia="zh-CN"/>
        </w:rPr>
      </w:pPr>
    </w:p>
    <w:p w14:paraId="46AC3742">
      <w:pPr>
        <w:rPr>
          <w:rFonts w:hint="eastAsia"/>
          <w:lang w:val="en-US" w:eastAsia="zh-CN"/>
        </w:rPr>
      </w:pPr>
    </w:p>
    <w:p w14:paraId="1FA59C40">
      <w:pPr>
        <w:rPr>
          <w:rFonts w:hint="eastAsia"/>
          <w:lang w:val="en-US" w:eastAsia="zh-CN"/>
        </w:rPr>
      </w:pPr>
    </w:p>
    <w:p w14:paraId="0CD72511">
      <w:pPr>
        <w:rPr>
          <w:rFonts w:hint="eastAsia"/>
          <w:lang w:val="en-US" w:eastAsia="zh-CN"/>
        </w:rPr>
      </w:pPr>
    </w:p>
    <w:p w14:paraId="32B7323A">
      <w:pPr>
        <w:rPr>
          <w:rFonts w:hint="eastAsia"/>
          <w:lang w:val="en-US" w:eastAsia="zh-CN"/>
        </w:rPr>
      </w:pPr>
    </w:p>
    <w:p w14:paraId="7417A141">
      <w:pPr>
        <w:rPr>
          <w:rFonts w:hint="eastAsia"/>
          <w:lang w:val="en-US" w:eastAsia="zh-CN"/>
        </w:rPr>
      </w:pPr>
    </w:p>
    <w:p w14:paraId="255EC08B">
      <w:pPr>
        <w:rPr>
          <w:rFonts w:hint="eastAsia"/>
          <w:lang w:val="en-US" w:eastAsia="zh-CN"/>
        </w:rPr>
      </w:pPr>
    </w:p>
    <w:p w14:paraId="082C8F5F">
      <w:pPr>
        <w:rPr>
          <w:rFonts w:hint="eastAsia"/>
          <w:lang w:val="en-US" w:eastAsia="zh-CN"/>
        </w:rPr>
      </w:pPr>
    </w:p>
    <w:p w14:paraId="30BC8F51">
      <w:pPr>
        <w:rPr>
          <w:rFonts w:hint="eastAsia"/>
          <w:lang w:val="en-US" w:eastAsia="zh-CN"/>
        </w:rPr>
      </w:pPr>
    </w:p>
    <w:p w14:paraId="678EB2F3">
      <w:pPr>
        <w:rPr>
          <w:rFonts w:hint="eastAsia"/>
          <w:lang w:val="en-US" w:eastAsia="zh-CN"/>
        </w:rPr>
      </w:pPr>
    </w:p>
    <w:p w14:paraId="2FF24DB8">
      <w:pPr>
        <w:bidi w:val="0"/>
        <w:jc w:val="left"/>
        <w:rPr>
          <w:rFonts w:hint="default" w:ascii="Times New Roman" w:hAnsi="Times New Roman" w:eastAsia="宋体" w:cs="Times New Roman"/>
          <w:kern w:val="2"/>
          <w:sz w:val="21"/>
          <w:szCs w:val="24"/>
          <w:lang w:val="en-US" w:eastAsia="zh-CN" w:bidi="ar-SA"/>
        </w:rPr>
      </w:pPr>
    </w:p>
    <w:sectPr>
      <w:footerReference r:id="rId3" w:type="default"/>
      <w:pgSz w:w="11906" w:h="16838"/>
      <w:pgMar w:top="2098" w:right="1531" w:bottom="1984" w:left="1531" w:header="851" w:footer="1474" w:gutter="0"/>
      <w:pgBorders>
        <w:top w:val="none" w:sz="0" w:space="0"/>
        <w:left w:val="none" w:sz="0" w:space="0"/>
        <w:bottom w:val="none" w:sz="0" w:space="0"/>
        <w:right w:val="none" w:sz="0" w:space="0"/>
      </w:pgBorders>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62D0A34-C731-4133-95E2-F3F1746F0AAF}"/>
  </w:font>
  <w:font w:name="Arial">
    <w:panose1 w:val="020B0604020202020204"/>
    <w:charset w:val="01"/>
    <w:family w:val="swiss"/>
    <w:pitch w:val="default"/>
    <w:sig w:usb0="E0002EFF" w:usb1="C000785B" w:usb2="00000009" w:usb3="00000000" w:csb0="400001FF" w:csb1="FFFF0000"/>
    <w:embedRegular r:id="rId2" w:fontKey="{63B40630-0E01-4E4A-8459-4D5006682B0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45009FA-336A-406C-80A1-D89C86DE6A95}"/>
  </w:font>
  <w:font w:name="Symbol">
    <w:panose1 w:val="05050102010706020507"/>
    <w:charset w:val="02"/>
    <w:family w:val="roman"/>
    <w:pitch w:val="default"/>
    <w:sig w:usb0="00000000" w:usb1="00000000" w:usb2="00000000" w:usb3="00000000" w:csb0="80000000" w:csb1="00000000"/>
    <w:embedRegular r:id="rId4" w:fontKey="{1FD6BD49-D290-49DF-B200-D0FE52E25CA4}"/>
  </w:font>
  <w:font w:name="Calibri">
    <w:panose1 w:val="020F0502020204030204"/>
    <w:charset w:val="00"/>
    <w:family w:val="swiss"/>
    <w:pitch w:val="default"/>
    <w:sig w:usb0="E4002EFF" w:usb1="C200247B" w:usb2="00000009" w:usb3="00000000" w:csb0="200001FF" w:csb1="00000000"/>
    <w:embedRegular r:id="rId5" w:fontKey="{141EF203-DB93-4852-BB34-0080BE4D91B4}"/>
  </w:font>
  <w:font w:name="方正仿宋_GBK">
    <w:panose1 w:val="03000509000000000000"/>
    <w:charset w:val="86"/>
    <w:family w:val="script"/>
    <w:pitch w:val="default"/>
    <w:sig w:usb0="00000001" w:usb1="080E0000" w:usb2="00000000" w:usb3="00000000" w:csb0="00040000" w:csb1="00000000"/>
    <w:embedRegular r:id="rId6" w:fontKey="{93DA99AE-3327-407F-9390-5414F467C9AB}"/>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7" w:fontKey="{B7B79B39-C4AF-42DD-97BA-87110B5029FA}"/>
  </w:font>
  <w:font w:name="方正楷体_GBK">
    <w:panose1 w:val="03000509000000000000"/>
    <w:charset w:val="86"/>
    <w:family w:val="script"/>
    <w:pitch w:val="default"/>
    <w:sig w:usb0="00000001" w:usb1="080E0000" w:usb2="00000000" w:usb3="00000000" w:csb0="00040000" w:csb1="00000000"/>
    <w:embedRegular r:id="rId8" w:fontKey="{96CC440C-6EA0-4CF7-9151-98FB39DF385C}"/>
  </w:font>
  <w:font w:name="华文中宋">
    <w:panose1 w:val="02010600040101010101"/>
    <w:charset w:val="86"/>
    <w:family w:val="auto"/>
    <w:pitch w:val="default"/>
    <w:sig w:usb0="00000287" w:usb1="080F0000" w:usb2="00000000" w:usb3="00000000" w:csb0="0004009F" w:csb1="DFD70000"/>
    <w:embedRegular r:id="rId9" w:fontKey="{D415AD25-727D-45E4-AC1B-A6D06C25D85C}"/>
  </w:font>
  <w:font w:name="微软雅黑">
    <w:panose1 w:val="020B0503020204020204"/>
    <w:charset w:val="86"/>
    <w:family w:val="auto"/>
    <w:pitch w:val="default"/>
    <w:sig w:usb0="80000287" w:usb1="2ACF3C50" w:usb2="00000016" w:usb3="00000000" w:csb0="0004001F" w:csb1="00000000"/>
    <w:embedRegular r:id="rId10" w:fontKey="{9A08EC97-78EF-4508-B734-32B24D451548}"/>
  </w:font>
  <w:font w:name="方正黑体_GBK">
    <w:panose1 w:val="03000509000000000000"/>
    <w:charset w:val="86"/>
    <w:family w:val="script"/>
    <w:pitch w:val="default"/>
    <w:sig w:usb0="00000001" w:usb1="080E0000" w:usb2="00000000" w:usb3="00000000" w:csb0="00040000" w:csb1="00000000"/>
    <w:embedRegular r:id="rId11" w:fontKey="{10A10EED-4FDC-4899-BB81-D1B49B0C67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CDDF9">
    <w:pPr>
      <w:pStyle w:val="9"/>
      <w:tabs>
        <w:tab w:val="clear" w:pos="4153"/>
      </w:tabs>
      <w:rPr>
        <w:rFonts w:ascii="Times New Roman" w:hAnsi="Times New Roman" w:eastAsia="方正仿宋_GBK" w:cs="方正仿宋_GBK"/>
        <w:sz w:val="28"/>
        <w:szCs w:val="28"/>
      </w:rPr>
    </w:pPr>
    <w:r>
      <w:rPr>
        <w:rFonts w:ascii="方正仿宋_GBK" w:hAnsi="方正仿宋_GBK" w:eastAsia="方正仿宋_GBK" w:cs="方正仿宋_GBK"/>
        <w:sz w:val="28"/>
        <w:szCs w:val="28"/>
      </w:rPr>
      <mc:AlternateContent>
        <mc:Choice Requires="wps">
          <w:drawing>
            <wp:anchor distT="0" distB="0" distL="0" distR="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40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25CDF7">
                          <w:pPr>
                            <w:pStyle w:val="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1">
                      <a:spAutoFit/>
                    </wps:bodyPr>
                  </wps:wsp>
                </a:graphicData>
              </a:graphic>
            </wp:anchor>
          </w:drawing>
        </mc:Choice>
        <mc:Fallback>
          <w:pict>
            <v:shape id="4097"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6pebnP&#10;AAAABQEAAA8AAAAAAAAAAQAgAAAAIgAAAGRycy9kb3ducmV2LnhtbFBLAQIUABQAAAAIAIdO4kAj&#10;4JU5twEAAJIDAAAOAAAAAAAAAAEAIAAAAB4BAABkcnMvZTJvRG9jLnhtbFBLBQYAAAAABgAGAFkB&#10;AABHBQAAAAA=&#10;">
              <v:fill on="f" focussize="0,0"/>
              <v:stroke on="f"/>
              <v:imagedata o:title=""/>
              <o:lock v:ext="edit" aspectratio="f"/>
              <v:textbox inset="0mm,0mm,0mm,0mm" style="mso-fit-shape-to-text:t;">
                <w:txbxContent>
                  <w:p w14:paraId="2325CDF7">
                    <w:pPr>
                      <w:pStyle w:val="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r>
      <w:rPr>
        <w:rFonts w:hint="eastAsia" w:ascii="Times New Roman" w:hAnsi="Times New Roman" w:eastAsia="方正仿宋_GBK" w:cs="方正仿宋_GBK"/>
        <w:sz w:val="28"/>
        <w:szCs w:val="28"/>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TM0MjljMDViYjg0YTIyZTk1NTg1OTkxNzQ0NGMifQ=="/>
  </w:docVars>
  <w:rsids>
    <w:rsidRoot w:val="00000000"/>
    <w:rsid w:val="006E03FB"/>
    <w:rsid w:val="012D2227"/>
    <w:rsid w:val="02641C78"/>
    <w:rsid w:val="037D6824"/>
    <w:rsid w:val="03A762C0"/>
    <w:rsid w:val="03D56E99"/>
    <w:rsid w:val="041A1188"/>
    <w:rsid w:val="04826C1B"/>
    <w:rsid w:val="04AB3B8E"/>
    <w:rsid w:val="04BE5FB8"/>
    <w:rsid w:val="051554AC"/>
    <w:rsid w:val="0599432F"/>
    <w:rsid w:val="05AD3936"/>
    <w:rsid w:val="05B13426"/>
    <w:rsid w:val="06913258"/>
    <w:rsid w:val="06BA630B"/>
    <w:rsid w:val="07A31495"/>
    <w:rsid w:val="07EC1847"/>
    <w:rsid w:val="07F26EF7"/>
    <w:rsid w:val="08000695"/>
    <w:rsid w:val="0847753D"/>
    <w:rsid w:val="094C3466"/>
    <w:rsid w:val="096B0176"/>
    <w:rsid w:val="097A7FD3"/>
    <w:rsid w:val="09CB4CD3"/>
    <w:rsid w:val="09E10052"/>
    <w:rsid w:val="0A171CC6"/>
    <w:rsid w:val="0A544CC8"/>
    <w:rsid w:val="0A726EFC"/>
    <w:rsid w:val="0AD66B11"/>
    <w:rsid w:val="0AD876A7"/>
    <w:rsid w:val="0B244849"/>
    <w:rsid w:val="0B756CA4"/>
    <w:rsid w:val="0B980BE5"/>
    <w:rsid w:val="0C3048AB"/>
    <w:rsid w:val="0C6E02C3"/>
    <w:rsid w:val="0CEC2F96"/>
    <w:rsid w:val="0D4903E8"/>
    <w:rsid w:val="0D5C45C0"/>
    <w:rsid w:val="0D6214AA"/>
    <w:rsid w:val="0DF93BBD"/>
    <w:rsid w:val="0E695A79"/>
    <w:rsid w:val="0E7476E7"/>
    <w:rsid w:val="0F2E7896"/>
    <w:rsid w:val="0F4277E5"/>
    <w:rsid w:val="0F6D3EE7"/>
    <w:rsid w:val="0FDE750E"/>
    <w:rsid w:val="0FF7412C"/>
    <w:rsid w:val="100F3B6B"/>
    <w:rsid w:val="101051ED"/>
    <w:rsid w:val="101822F4"/>
    <w:rsid w:val="10437371"/>
    <w:rsid w:val="10C04E65"/>
    <w:rsid w:val="11C72224"/>
    <w:rsid w:val="1292638E"/>
    <w:rsid w:val="12A12A75"/>
    <w:rsid w:val="135F0966"/>
    <w:rsid w:val="1367781A"/>
    <w:rsid w:val="14587163"/>
    <w:rsid w:val="145F4995"/>
    <w:rsid w:val="151B08BC"/>
    <w:rsid w:val="15661D59"/>
    <w:rsid w:val="156C2EC6"/>
    <w:rsid w:val="15837C71"/>
    <w:rsid w:val="15AB019D"/>
    <w:rsid w:val="15E11F8A"/>
    <w:rsid w:val="15F15AC1"/>
    <w:rsid w:val="16730284"/>
    <w:rsid w:val="17342109"/>
    <w:rsid w:val="17D05676"/>
    <w:rsid w:val="18ED2570"/>
    <w:rsid w:val="196A630A"/>
    <w:rsid w:val="1A82295A"/>
    <w:rsid w:val="1AE300CE"/>
    <w:rsid w:val="1B1F09DB"/>
    <w:rsid w:val="1B7727E9"/>
    <w:rsid w:val="1BCA6B98"/>
    <w:rsid w:val="1C202C5C"/>
    <w:rsid w:val="1C444B9D"/>
    <w:rsid w:val="1C5A43C0"/>
    <w:rsid w:val="1D1E53EE"/>
    <w:rsid w:val="1D55105F"/>
    <w:rsid w:val="1DAA4ED3"/>
    <w:rsid w:val="1DD2442A"/>
    <w:rsid w:val="1ED3045A"/>
    <w:rsid w:val="1EE461C3"/>
    <w:rsid w:val="1FE521F3"/>
    <w:rsid w:val="20032679"/>
    <w:rsid w:val="201A67AC"/>
    <w:rsid w:val="204C04C4"/>
    <w:rsid w:val="204C4020"/>
    <w:rsid w:val="20ED5E36"/>
    <w:rsid w:val="216F4B4A"/>
    <w:rsid w:val="223B0E79"/>
    <w:rsid w:val="230010F2"/>
    <w:rsid w:val="237A70F6"/>
    <w:rsid w:val="23B819CC"/>
    <w:rsid w:val="23DC56BB"/>
    <w:rsid w:val="24ED5B02"/>
    <w:rsid w:val="2628108B"/>
    <w:rsid w:val="268D0EEE"/>
    <w:rsid w:val="26E05010"/>
    <w:rsid w:val="27483067"/>
    <w:rsid w:val="28254993"/>
    <w:rsid w:val="288A7DDB"/>
    <w:rsid w:val="28BC1F5F"/>
    <w:rsid w:val="294F47EF"/>
    <w:rsid w:val="29EF5FEE"/>
    <w:rsid w:val="2A3A75DF"/>
    <w:rsid w:val="2AA35184"/>
    <w:rsid w:val="2B7663F5"/>
    <w:rsid w:val="2B8A1EA0"/>
    <w:rsid w:val="2C4209CD"/>
    <w:rsid w:val="2CB2481F"/>
    <w:rsid w:val="2CC66F08"/>
    <w:rsid w:val="2CD94E8D"/>
    <w:rsid w:val="2E224612"/>
    <w:rsid w:val="2E821554"/>
    <w:rsid w:val="2EC102CF"/>
    <w:rsid w:val="2FC31E25"/>
    <w:rsid w:val="2FC82F97"/>
    <w:rsid w:val="2FE9460A"/>
    <w:rsid w:val="31197F4E"/>
    <w:rsid w:val="31501496"/>
    <w:rsid w:val="318A5B64"/>
    <w:rsid w:val="31FC517A"/>
    <w:rsid w:val="32575344"/>
    <w:rsid w:val="337F6063"/>
    <w:rsid w:val="33B51A84"/>
    <w:rsid w:val="3468607D"/>
    <w:rsid w:val="347A4A5E"/>
    <w:rsid w:val="34873421"/>
    <w:rsid w:val="34B47F8E"/>
    <w:rsid w:val="35087E94"/>
    <w:rsid w:val="353F1F4D"/>
    <w:rsid w:val="364A0160"/>
    <w:rsid w:val="367E2601"/>
    <w:rsid w:val="36CC571B"/>
    <w:rsid w:val="36D5599A"/>
    <w:rsid w:val="36D668E1"/>
    <w:rsid w:val="3744384B"/>
    <w:rsid w:val="37621F23"/>
    <w:rsid w:val="3762626B"/>
    <w:rsid w:val="38195EC1"/>
    <w:rsid w:val="38274852"/>
    <w:rsid w:val="38FA68B7"/>
    <w:rsid w:val="39070FD4"/>
    <w:rsid w:val="39972358"/>
    <w:rsid w:val="3A190FBF"/>
    <w:rsid w:val="3A325BDD"/>
    <w:rsid w:val="3B6D7E3D"/>
    <w:rsid w:val="3C261771"/>
    <w:rsid w:val="3D394D6C"/>
    <w:rsid w:val="3D475E43"/>
    <w:rsid w:val="3D9A2417"/>
    <w:rsid w:val="3DD75419"/>
    <w:rsid w:val="3DDF7E2A"/>
    <w:rsid w:val="3E29379B"/>
    <w:rsid w:val="3E9C5D1B"/>
    <w:rsid w:val="3F177A97"/>
    <w:rsid w:val="3F9609BC"/>
    <w:rsid w:val="3FBB02E4"/>
    <w:rsid w:val="3FDA0952"/>
    <w:rsid w:val="40463E1D"/>
    <w:rsid w:val="407F58F4"/>
    <w:rsid w:val="40990487"/>
    <w:rsid w:val="40DC2D46"/>
    <w:rsid w:val="4140177D"/>
    <w:rsid w:val="418036D2"/>
    <w:rsid w:val="41A30BDF"/>
    <w:rsid w:val="41B4781F"/>
    <w:rsid w:val="42B555FD"/>
    <w:rsid w:val="42D27F5D"/>
    <w:rsid w:val="42E339EB"/>
    <w:rsid w:val="433F136A"/>
    <w:rsid w:val="43454BD3"/>
    <w:rsid w:val="445A645C"/>
    <w:rsid w:val="44A122DD"/>
    <w:rsid w:val="44BF2763"/>
    <w:rsid w:val="44C24001"/>
    <w:rsid w:val="452D1DC2"/>
    <w:rsid w:val="453A2091"/>
    <w:rsid w:val="454F3AE7"/>
    <w:rsid w:val="46276812"/>
    <w:rsid w:val="463C2052"/>
    <w:rsid w:val="473531B0"/>
    <w:rsid w:val="473867FC"/>
    <w:rsid w:val="47527568"/>
    <w:rsid w:val="476C50E6"/>
    <w:rsid w:val="479C4FDD"/>
    <w:rsid w:val="47A520E4"/>
    <w:rsid w:val="47B42327"/>
    <w:rsid w:val="48107D3B"/>
    <w:rsid w:val="48254FD3"/>
    <w:rsid w:val="48855A71"/>
    <w:rsid w:val="488E642F"/>
    <w:rsid w:val="489857A5"/>
    <w:rsid w:val="49325BF9"/>
    <w:rsid w:val="493D00FA"/>
    <w:rsid w:val="49BE123B"/>
    <w:rsid w:val="49C36851"/>
    <w:rsid w:val="49D92519"/>
    <w:rsid w:val="4A653DAC"/>
    <w:rsid w:val="4A6D7F43"/>
    <w:rsid w:val="4AE72A13"/>
    <w:rsid w:val="4B8A1D1C"/>
    <w:rsid w:val="4BE13907"/>
    <w:rsid w:val="4C1C493F"/>
    <w:rsid w:val="4C6562E6"/>
    <w:rsid w:val="4CC65C96"/>
    <w:rsid w:val="4CE20FB3"/>
    <w:rsid w:val="4CF07880"/>
    <w:rsid w:val="4CF86AF6"/>
    <w:rsid w:val="4D2A6BE7"/>
    <w:rsid w:val="4E41243B"/>
    <w:rsid w:val="4E45017D"/>
    <w:rsid w:val="4F400944"/>
    <w:rsid w:val="4F6656A2"/>
    <w:rsid w:val="50416722"/>
    <w:rsid w:val="50546455"/>
    <w:rsid w:val="50607898"/>
    <w:rsid w:val="512C73D2"/>
    <w:rsid w:val="51453FF0"/>
    <w:rsid w:val="514E5EA0"/>
    <w:rsid w:val="51842D6A"/>
    <w:rsid w:val="51DC0DF8"/>
    <w:rsid w:val="51E1640E"/>
    <w:rsid w:val="522B1438"/>
    <w:rsid w:val="52524C16"/>
    <w:rsid w:val="5272350A"/>
    <w:rsid w:val="528D5C4E"/>
    <w:rsid w:val="53004672"/>
    <w:rsid w:val="533B7DA0"/>
    <w:rsid w:val="535B3F9E"/>
    <w:rsid w:val="53AE40CE"/>
    <w:rsid w:val="546F015D"/>
    <w:rsid w:val="54825EBC"/>
    <w:rsid w:val="54EB4EAE"/>
    <w:rsid w:val="55055F70"/>
    <w:rsid w:val="552A1E7A"/>
    <w:rsid w:val="55431D96"/>
    <w:rsid w:val="56044479"/>
    <w:rsid w:val="574B1DBB"/>
    <w:rsid w:val="57671164"/>
    <w:rsid w:val="5770515B"/>
    <w:rsid w:val="58733B38"/>
    <w:rsid w:val="58D67BB5"/>
    <w:rsid w:val="591744C4"/>
    <w:rsid w:val="59305585"/>
    <w:rsid w:val="59DC7CF3"/>
    <w:rsid w:val="59E85E60"/>
    <w:rsid w:val="5A0C5FF2"/>
    <w:rsid w:val="5A5A31E0"/>
    <w:rsid w:val="5AA42021"/>
    <w:rsid w:val="5BAF6C35"/>
    <w:rsid w:val="5BC84720"/>
    <w:rsid w:val="5C215553"/>
    <w:rsid w:val="5C2C472A"/>
    <w:rsid w:val="5C313AEE"/>
    <w:rsid w:val="5CB12E81"/>
    <w:rsid w:val="5CD70172"/>
    <w:rsid w:val="5D0312E1"/>
    <w:rsid w:val="5D6D0B56"/>
    <w:rsid w:val="5DA53DDA"/>
    <w:rsid w:val="5DAE3114"/>
    <w:rsid w:val="5DBC388C"/>
    <w:rsid w:val="5DC56BE4"/>
    <w:rsid w:val="5E4E4E2C"/>
    <w:rsid w:val="5E530279"/>
    <w:rsid w:val="5EEF1CDA"/>
    <w:rsid w:val="5F2C0384"/>
    <w:rsid w:val="5F32219B"/>
    <w:rsid w:val="5F5A7800"/>
    <w:rsid w:val="5F7408C2"/>
    <w:rsid w:val="600357A2"/>
    <w:rsid w:val="601E082E"/>
    <w:rsid w:val="60D62EB6"/>
    <w:rsid w:val="61312857"/>
    <w:rsid w:val="6146003C"/>
    <w:rsid w:val="615E35D8"/>
    <w:rsid w:val="61891CD7"/>
    <w:rsid w:val="61B56CF2"/>
    <w:rsid w:val="61D513C0"/>
    <w:rsid w:val="61E46766"/>
    <w:rsid w:val="61FC4B9F"/>
    <w:rsid w:val="624D53FA"/>
    <w:rsid w:val="62512850"/>
    <w:rsid w:val="634265E1"/>
    <w:rsid w:val="636C365E"/>
    <w:rsid w:val="63A23524"/>
    <w:rsid w:val="63CD05A1"/>
    <w:rsid w:val="640970FF"/>
    <w:rsid w:val="64281C7B"/>
    <w:rsid w:val="649B41FB"/>
    <w:rsid w:val="65613696"/>
    <w:rsid w:val="65640A91"/>
    <w:rsid w:val="658E3D60"/>
    <w:rsid w:val="661324B7"/>
    <w:rsid w:val="663B0D54"/>
    <w:rsid w:val="665F56FC"/>
    <w:rsid w:val="66C2205B"/>
    <w:rsid w:val="66F60A4E"/>
    <w:rsid w:val="671B1623"/>
    <w:rsid w:val="676B07FC"/>
    <w:rsid w:val="67E70D23"/>
    <w:rsid w:val="680A4C7E"/>
    <w:rsid w:val="686F7E78"/>
    <w:rsid w:val="688632B8"/>
    <w:rsid w:val="688B0A2A"/>
    <w:rsid w:val="68E649B4"/>
    <w:rsid w:val="690600B1"/>
    <w:rsid w:val="69085BD7"/>
    <w:rsid w:val="691427CE"/>
    <w:rsid w:val="6954536C"/>
    <w:rsid w:val="69BD4C13"/>
    <w:rsid w:val="6A445335"/>
    <w:rsid w:val="6A731776"/>
    <w:rsid w:val="6AE72337"/>
    <w:rsid w:val="6B054AC4"/>
    <w:rsid w:val="6B282560"/>
    <w:rsid w:val="6BC404DB"/>
    <w:rsid w:val="6BDF7224"/>
    <w:rsid w:val="6BEA3872"/>
    <w:rsid w:val="6C4D0B55"/>
    <w:rsid w:val="6CD40BF2"/>
    <w:rsid w:val="6CDA3D2E"/>
    <w:rsid w:val="6D7B1211"/>
    <w:rsid w:val="6DAF6F69"/>
    <w:rsid w:val="6ED21161"/>
    <w:rsid w:val="6F6124E5"/>
    <w:rsid w:val="6FA21A81"/>
    <w:rsid w:val="6FC860C0"/>
    <w:rsid w:val="701E3F32"/>
    <w:rsid w:val="71A1306D"/>
    <w:rsid w:val="723F4D5F"/>
    <w:rsid w:val="72CC5EC7"/>
    <w:rsid w:val="73B057E9"/>
    <w:rsid w:val="73E83252"/>
    <w:rsid w:val="74743636"/>
    <w:rsid w:val="7499627D"/>
    <w:rsid w:val="74E21BA3"/>
    <w:rsid w:val="756D573F"/>
    <w:rsid w:val="76A50F09"/>
    <w:rsid w:val="76CA3605"/>
    <w:rsid w:val="775E0E78"/>
    <w:rsid w:val="77C17FC5"/>
    <w:rsid w:val="78591FAB"/>
    <w:rsid w:val="78A05156"/>
    <w:rsid w:val="78B6564F"/>
    <w:rsid w:val="78C33454"/>
    <w:rsid w:val="78C73751"/>
    <w:rsid w:val="78DD498A"/>
    <w:rsid w:val="79C43D9C"/>
    <w:rsid w:val="79CB0C87"/>
    <w:rsid w:val="7A8F43AA"/>
    <w:rsid w:val="7AE30252"/>
    <w:rsid w:val="7B436473"/>
    <w:rsid w:val="7B6E0463"/>
    <w:rsid w:val="7BA2010D"/>
    <w:rsid w:val="7C2F7D87"/>
    <w:rsid w:val="7C3E6FBF"/>
    <w:rsid w:val="7C4450C0"/>
    <w:rsid w:val="7C705B15"/>
    <w:rsid w:val="7C725D31"/>
    <w:rsid w:val="7CD04806"/>
    <w:rsid w:val="7D3F20B7"/>
    <w:rsid w:val="7D8C2E23"/>
    <w:rsid w:val="7DCE1608"/>
    <w:rsid w:val="7EAD4DFF"/>
    <w:rsid w:val="7F0D298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5">
    <w:name w:val="Default Paragraph Font"/>
    <w:qFormat/>
    <w:uiPriority w:val="1"/>
  </w:style>
  <w:style w:type="table" w:default="1" w:styleId="13">
    <w:name w:val="Normal Table"/>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pPr>
  </w:style>
  <w:style w:type="paragraph" w:styleId="3">
    <w:name w:val="toc 5"/>
    <w:basedOn w:val="1"/>
    <w:next w:val="1"/>
    <w:qFormat/>
    <w:uiPriority w:val="0"/>
    <w:pPr>
      <w:ind w:left="1680" w:leftChars="800"/>
    </w:pPr>
    <w:rPr>
      <w:rFonts w:eastAsia="方正仿宋_GBK"/>
      <w:sz w:val="32"/>
    </w:rPr>
  </w:style>
  <w:style w:type="paragraph" w:styleId="7">
    <w:name w:val="Date"/>
    <w:basedOn w:val="1"/>
    <w:next w:val="1"/>
    <w:link w:val="20"/>
    <w:qFormat/>
    <w:uiPriority w:val="0"/>
    <w:pPr>
      <w:ind w:left="100" w:leftChars="2500"/>
    </w:pPr>
  </w:style>
  <w:style w:type="paragraph" w:styleId="8">
    <w:name w:val="Balloon Text"/>
    <w:basedOn w:val="1"/>
    <w:qFormat/>
    <w:uiPriority w:val="0"/>
    <w:rPr>
      <w:sz w:val="18"/>
      <w:szCs w:val="18"/>
    </w:rPr>
  </w:style>
  <w:style w:type="paragraph" w:styleId="9">
    <w:name w:val="footer"/>
    <w:basedOn w:val="1"/>
    <w:link w:val="19"/>
    <w:autoRedefine/>
    <w:qFormat/>
    <w:uiPriority w:val="0"/>
    <w:pPr>
      <w:tabs>
        <w:tab w:val="center" w:pos="4153"/>
        <w:tab w:val="right" w:pos="8306"/>
      </w:tabs>
      <w:snapToGrid w:val="0"/>
      <w:jc w:val="left"/>
    </w:pPr>
    <w:rPr>
      <w:sz w:val="18"/>
      <w:szCs w:val="18"/>
    </w:rPr>
  </w:style>
  <w:style w:type="paragraph" w:styleId="10">
    <w:name w:val="header"/>
    <w:basedOn w:val="1"/>
    <w:link w:val="18"/>
    <w:autoRedefine/>
    <w:qFormat/>
    <w:uiPriority w:val="0"/>
    <w:pPr>
      <w:pBdr>
        <w:bottom w:val="single" w:color="auto" w:sz="6" w:space="1"/>
      </w:pBdr>
      <w:tabs>
        <w:tab w:val="center" w:pos="4153"/>
        <w:tab w:val="right" w:pos="8306"/>
      </w:tabs>
      <w:snapToGrid w:val="0"/>
      <w:jc w:val="center"/>
    </w:pPr>
    <w:rPr>
      <w:sz w:val="18"/>
      <w:szCs w:val="18"/>
    </w:rPr>
  </w:style>
  <w:style w:type="paragraph" w:styleId="11">
    <w:name w:val="table of figures"/>
    <w:basedOn w:val="1"/>
    <w:next w:val="1"/>
    <w:autoRedefine/>
    <w:qFormat/>
    <w:uiPriority w:val="99"/>
    <w:pPr>
      <w:ind w:left="200" w:leftChars="200" w:hanging="200" w:hangingChars="200"/>
    </w:pPr>
  </w:style>
  <w:style w:type="paragraph" w:styleId="12">
    <w:name w:val="Normal (Web)"/>
    <w:basedOn w:val="1"/>
    <w:autoRedefine/>
    <w:qFormat/>
    <w:uiPriority w:val="0"/>
    <w:pPr>
      <w:widowControl/>
      <w:spacing w:before="100" w:beforeAutospacing="1" w:after="100" w:afterAutospacing="1"/>
      <w:jc w:val="left"/>
    </w:pPr>
    <w:rPr>
      <w:rFonts w:ascii="宋体" w:hAnsi="宋体" w:eastAsia="楷体_GB2312" w:cs="宋体"/>
      <w:kern w:val="0"/>
      <w:sz w:val="24"/>
      <w:szCs w:val="32"/>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rPr>
  </w:style>
  <w:style w:type="paragraph" w:customStyle="1" w:styleId="17">
    <w:name w:val="Char"/>
    <w:basedOn w:val="1"/>
    <w:qFormat/>
    <w:uiPriority w:val="0"/>
    <w:rPr>
      <w:rFonts w:ascii="Arial" w:hAnsi="Arial" w:cs="Arial"/>
      <w:sz w:val="20"/>
      <w:szCs w:val="20"/>
    </w:rPr>
  </w:style>
  <w:style w:type="character" w:customStyle="1" w:styleId="18">
    <w:name w:val="页眉 Char"/>
    <w:basedOn w:val="15"/>
    <w:link w:val="10"/>
    <w:qFormat/>
    <w:uiPriority w:val="0"/>
    <w:rPr>
      <w:kern w:val="2"/>
      <w:sz w:val="18"/>
      <w:szCs w:val="18"/>
    </w:rPr>
  </w:style>
  <w:style w:type="character" w:customStyle="1" w:styleId="19">
    <w:name w:val="页脚 Char"/>
    <w:basedOn w:val="15"/>
    <w:link w:val="9"/>
    <w:autoRedefine/>
    <w:qFormat/>
    <w:uiPriority w:val="0"/>
    <w:rPr>
      <w:kern w:val="2"/>
      <w:sz w:val="18"/>
      <w:szCs w:val="18"/>
    </w:rPr>
  </w:style>
  <w:style w:type="character" w:customStyle="1" w:styleId="20">
    <w:name w:val="日期 Char"/>
    <w:basedOn w:val="15"/>
    <w:link w:val="7"/>
    <w:autoRedefine/>
    <w:qFormat/>
    <w:uiPriority w:val="0"/>
    <w:rPr>
      <w:kern w:val="2"/>
      <w:sz w:val="21"/>
      <w:szCs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Pages>
  <Words>4168</Words>
  <Characters>4262</Characters>
  <Paragraphs>78</Paragraphs>
  <TotalTime>1</TotalTime>
  <ScaleCrop>false</ScaleCrop>
  <LinksUpToDate>false</LinksUpToDate>
  <CharactersWithSpaces>4264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2021-08-30T01:28:00Z</dcterms:created>
  <dc:creator>微软用户</dc:creator>
  <cp:lastModifiedBy>鱼丸粗面</cp:lastModifiedBy>
  <cp:lastPrinted>2023-01-31T02:29:00Z</cp:lastPrinted>
  <dcterms:modified xsi:type="dcterms:W3CDTF">2025-09-29T03:56:54Z</dcterms:modified>
  <dc:title>[格式2：适用于区县人大换届选举结果的上报]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335778743_embed</vt:lpwstr>
  </property>
  <property fmtid="{D5CDD505-2E9C-101B-9397-08002B2CF9AE}" pid="3" name="KSOProductBuildVer">
    <vt:lpwstr>2052-12.1.0.22529</vt:lpwstr>
  </property>
  <property fmtid="{D5CDD505-2E9C-101B-9397-08002B2CF9AE}" pid="4" name="ICV">
    <vt:lpwstr>97F8C98A8F6047C6BD0CED934923E764_13</vt:lpwstr>
  </property>
  <property fmtid="{D5CDD505-2E9C-101B-9397-08002B2CF9AE}" pid="5" name="KSOTemplateDocerSaveRecord">
    <vt:lpwstr>eyJoZGlkIjoiODc1ODY5ODY1OWNiMDA5MjJhOTU4YjVlZTY0N2MwMTkiLCJ1c2VySWQiOiIyNzUyNTk2MTIifQ==</vt:lpwstr>
  </property>
</Properties>
</file>