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12B2E">
      <w:pPr>
        <w:pageBreakBefore w:val="0"/>
        <w:widowControl w:val="0"/>
        <w:kinsoku/>
        <w:bidi w:val="0"/>
        <w:spacing w:beforeAutospacing="0" w:afterAutospacing="0"/>
        <w:ind w:left="0"/>
        <w:jc w:val="center"/>
        <w:rPr>
          <w:rFonts w:hint="eastAsia" w:ascii="方正小标宋_GBK" w:hAnsi="方正小标宋_GBK" w:eastAsia="方正小标宋_GBK" w:cs="方正小标宋_GBK"/>
          <w:b w:val="0"/>
          <w:bCs w:val="0"/>
          <w:sz w:val="44"/>
          <w:szCs w:val="44"/>
          <w:lang w:eastAsia="zh-CN"/>
        </w:rPr>
      </w:pPr>
      <w:bookmarkStart w:id="114" w:name="_GoBack"/>
      <w:bookmarkEnd w:id="114"/>
    </w:p>
    <w:p w14:paraId="4B670E5F">
      <w:pPr>
        <w:pageBreakBefore w:val="0"/>
        <w:widowControl w:val="0"/>
        <w:kinsoku/>
        <w:wordWrap/>
        <w:bidi w:val="0"/>
        <w:spacing w:beforeAutospacing="0" w:afterAutospacing="0"/>
        <w:ind w:left="0" w:firstLine="0" w:firstLineChars="0"/>
        <w:jc w:val="both"/>
        <w:rPr>
          <w:rFonts w:ascii="方正仿宋_GBK" w:hAnsi="方正仿宋_GBK" w:eastAsia="方正仿宋_GBK" w:cs="方正仿宋_GBK"/>
          <w:i w:val="0"/>
          <w:iCs w:val="0"/>
          <w:caps w:val="0"/>
          <w:color w:val="424242"/>
          <w:spacing w:val="0"/>
          <w:sz w:val="28"/>
          <w:szCs w:val="28"/>
          <w:shd w:val="clear" w:fill="FFFFFF"/>
        </w:rPr>
      </w:pPr>
    </w:p>
    <w:p w14:paraId="2E45DE16">
      <w:pPr>
        <w:pageBreakBefore w:val="0"/>
        <w:widowControl w:val="0"/>
        <w:kinsoku/>
        <w:wordWrap/>
        <w:bidi w:val="0"/>
        <w:spacing w:beforeAutospacing="0" w:afterAutospacing="0"/>
        <w:ind w:left="0" w:firstLine="0" w:firstLineChars="0"/>
        <w:jc w:val="center"/>
        <w:rPr>
          <w:rFonts w:ascii="方正仿宋_GBK" w:hAnsi="方正仿宋_GBK" w:eastAsia="方正仿宋_GBK" w:cs="方正仿宋_GBK"/>
          <w:i w:val="0"/>
          <w:iCs w:val="0"/>
          <w:caps w:val="0"/>
          <w:color w:val="424242"/>
          <w:spacing w:val="0"/>
          <w:sz w:val="28"/>
          <w:szCs w:val="28"/>
          <w:shd w:val="clear" w:fill="FFFFFF"/>
        </w:rPr>
      </w:pPr>
    </w:p>
    <w:p w14:paraId="30DCFD39">
      <w:pPr>
        <w:pageBreakBefore w:val="0"/>
        <w:widowControl w:val="0"/>
        <w:kinsoku/>
        <w:wordWrap/>
        <w:bidi w:val="0"/>
        <w:spacing w:beforeAutospacing="0" w:afterAutospacing="0"/>
        <w:ind w:left="0" w:firstLine="0" w:firstLineChars="0"/>
        <w:jc w:val="center"/>
        <w:rPr>
          <w:rFonts w:hint="default" w:ascii="Times New Roman" w:hAnsi="Times New Roman" w:eastAsia="方正仿宋_GBK" w:cs="Times New Roman"/>
          <w:i w:val="0"/>
          <w:iCs w:val="0"/>
          <w:caps w:val="0"/>
          <w:color w:val="424242"/>
          <w:spacing w:val="0"/>
          <w:sz w:val="28"/>
          <w:szCs w:val="28"/>
          <w:shd w:val="clear" w:fill="FFFFFF"/>
        </w:rPr>
      </w:pPr>
      <w:r>
        <w:rPr>
          <w:rFonts w:ascii="方正仿宋_GBK" w:hAnsi="方正仿宋_GBK" w:eastAsia="方正仿宋_GBK" w:cs="方正仿宋_GBK"/>
          <w:i w:val="0"/>
          <w:iCs w:val="0"/>
          <w:caps w:val="0"/>
          <w:color w:val="424242"/>
          <w:spacing w:val="0"/>
          <w:sz w:val="28"/>
          <w:szCs w:val="28"/>
          <w:shd w:val="clear" w:fill="FFFFFF"/>
        </w:rPr>
        <w:t>黄</w:t>
      </w:r>
      <w:r>
        <w:rPr>
          <w:rFonts w:hint="default" w:ascii="Times New Roman" w:hAnsi="Times New Roman" w:eastAsia="方正仿宋_GBK" w:cs="Times New Roman"/>
          <w:i w:val="0"/>
          <w:iCs w:val="0"/>
          <w:caps w:val="0"/>
          <w:color w:val="424242"/>
          <w:spacing w:val="0"/>
          <w:sz w:val="28"/>
          <w:szCs w:val="28"/>
          <w:shd w:val="clear" w:fill="FFFFFF"/>
        </w:rPr>
        <w:t>石府发〔2023〕</w:t>
      </w:r>
      <w:r>
        <w:rPr>
          <w:rFonts w:hint="default" w:ascii="Times New Roman" w:eastAsia="方正仿宋_GBK" w:cs="Times New Roman"/>
          <w:i w:val="0"/>
          <w:iCs w:val="0"/>
          <w:caps w:val="0"/>
          <w:color w:val="424242"/>
          <w:spacing w:val="0"/>
          <w:sz w:val="28"/>
          <w:szCs w:val="28"/>
          <w:shd w:val="clear" w:fill="FFFFFF"/>
          <w:lang w:val="en" w:eastAsia="zh-CN"/>
        </w:rPr>
        <w:t>69</w:t>
      </w:r>
      <w:r>
        <w:rPr>
          <w:rFonts w:hint="default" w:ascii="Times New Roman" w:hAnsi="Times New Roman" w:eastAsia="方正仿宋_GBK" w:cs="Times New Roman"/>
          <w:i w:val="0"/>
          <w:iCs w:val="0"/>
          <w:caps w:val="0"/>
          <w:color w:val="424242"/>
          <w:spacing w:val="0"/>
          <w:sz w:val="28"/>
          <w:szCs w:val="28"/>
          <w:shd w:val="clear" w:fill="FFFFFF"/>
        </w:rPr>
        <w:t>号</w:t>
      </w:r>
    </w:p>
    <w:p w14:paraId="0E2B5CC0">
      <w:pPr>
        <w:pStyle w:val="2"/>
        <w:rPr>
          <w:rFonts w:hint="default"/>
        </w:rPr>
      </w:pPr>
    </w:p>
    <w:p w14:paraId="377906E1">
      <w:pPr>
        <w:keepNext w:val="0"/>
        <w:keepLines w:val="0"/>
        <w:pageBreakBefore w:val="0"/>
        <w:widowControl w:val="0"/>
        <w:kinsoku/>
        <w:overflowPunct w:val="0"/>
        <w:topLinePunct/>
        <w:autoSpaceDE w:val="0"/>
        <w:autoSpaceDN w:val="0"/>
        <w:bidi w:val="0"/>
        <w:adjustRightInd/>
        <w:snapToGrid/>
        <w:spacing w:beforeAutospacing="0" w:afterAutospacing="0" w:line="640" w:lineRule="exact"/>
        <w:ind w:left="0"/>
        <w:jc w:val="center"/>
        <w:textAlignment w:val="top"/>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云阳县黄石镇人民政府</w:t>
      </w:r>
    </w:p>
    <w:p w14:paraId="081A8032">
      <w:pPr>
        <w:keepNext w:val="0"/>
        <w:keepLines w:val="0"/>
        <w:pageBreakBefore w:val="0"/>
        <w:widowControl w:val="0"/>
        <w:kinsoku/>
        <w:wordWrap/>
        <w:overflowPunct w:val="0"/>
        <w:topLinePunct/>
        <w:autoSpaceDE w:val="0"/>
        <w:autoSpaceDN w:val="0"/>
        <w:bidi w:val="0"/>
        <w:adjustRightInd/>
        <w:snapToGrid/>
        <w:spacing w:beforeAutospacing="0" w:afterAutospacing="0" w:line="640" w:lineRule="exact"/>
        <w:ind w:left="0" w:firstLine="0" w:firstLineChars="0"/>
        <w:jc w:val="center"/>
        <w:textAlignment w:val="top"/>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w:t>
      </w:r>
      <w:r>
        <w:rPr>
          <w:rFonts w:hint="eastAsia" w:ascii="方正小标宋_GBK" w:hAnsi="方正小标宋_GBK" w:eastAsia="方正小标宋_GBK" w:cs="方正小标宋_GBK"/>
          <w:b w:val="0"/>
          <w:bCs w:val="0"/>
          <w:sz w:val="44"/>
          <w:szCs w:val="44"/>
          <w:lang w:val="en-US" w:eastAsia="zh-CN"/>
        </w:rPr>
        <w:t>黄石</w:t>
      </w:r>
      <w:r>
        <w:rPr>
          <w:rFonts w:hint="eastAsia" w:ascii="方正小标宋_GBK" w:hAnsi="方正小标宋_GBK" w:eastAsia="方正小标宋_GBK" w:cs="方正小标宋_GBK"/>
          <w:b w:val="0"/>
          <w:bCs w:val="0"/>
          <w:sz w:val="44"/>
          <w:szCs w:val="44"/>
        </w:rPr>
        <w:t>镇</w:t>
      </w:r>
      <w:r>
        <w:rPr>
          <w:rFonts w:hint="eastAsia" w:ascii="方正小标宋_GBK" w:hAnsi="方正小标宋_GBK" w:eastAsia="方正小标宋_GBK" w:cs="方正小标宋_GBK"/>
          <w:b w:val="0"/>
          <w:bCs w:val="0"/>
          <w:sz w:val="44"/>
          <w:szCs w:val="44"/>
          <w:lang w:val="en-US" w:eastAsia="zh-CN"/>
        </w:rPr>
        <w:t>铁炉沟集中式饮用水水源地</w:t>
      </w:r>
      <w:r>
        <w:rPr>
          <w:rFonts w:hint="eastAsia" w:ascii="方正小标宋_GBK" w:hAnsi="方正小标宋_GBK" w:eastAsia="方正小标宋_GBK" w:cs="方正小标宋_GBK"/>
          <w:b w:val="0"/>
          <w:bCs w:val="0"/>
          <w:sz w:val="44"/>
          <w:szCs w:val="44"/>
        </w:rPr>
        <w:t>水质达标整治方案</w:t>
      </w:r>
      <w:r>
        <w:rPr>
          <w:rFonts w:hint="eastAsia" w:ascii="方正小标宋_GBK" w:hAnsi="方正小标宋_GBK" w:eastAsia="方正小标宋_GBK" w:cs="方正小标宋_GBK"/>
          <w:b w:val="0"/>
          <w:bCs w:val="0"/>
          <w:sz w:val="44"/>
          <w:szCs w:val="44"/>
          <w:lang w:eastAsia="zh-CN"/>
        </w:rPr>
        <w:t>》的通知</w:t>
      </w:r>
    </w:p>
    <w:p w14:paraId="0BCF2C7C">
      <w:pPr>
        <w:pStyle w:val="2"/>
        <w:pageBreakBefore w:val="0"/>
        <w:widowControl w:val="0"/>
        <w:kinsoku/>
        <w:bidi w:val="0"/>
        <w:spacing w:before="0" w:beforeLines="0" w:beforeAutospacing="0" w:after="0" w:afterLines="0" w:afterAutospacing="0"/>
        <w:ind w:left="0"/>
        <w:rPr>
          <w:rFonts w:hint="default" w:ascii="Times New Roman" w:hAnsi="Times New Roman" w:cs="Times New Roman"/>
          <w:lang w:eastAsia="zh-CN"/>
        </w:rPr>
      </w:pPr>
    </w:p>
    <w:p w14:paraId="56A21214">
      <w:pPr>
        <w:keepNext w:val="0"/>
        <w:keepLines w:val="0"/>
        <w:pageBreakBefore w:val="0"/>
        <w:widowControl w:val="0"/>
        <w:kinsoku/>
        <w:wordWrap w:val="0"/>
        <w:overflowPunct w:val="0"/>
        <w:topLinePunct/>
        <w:autoSpaceDE w:val="0"/>
        <w:autoSpaceDN w:val="0"/>
        <w:bidi w:val="0"/>
        <w:adjustRightInd/>
        <w:snapToGrid/>
        <w:spacing w:beforeAutospacing="0" w:afterAutospacing="0" w:line="580" w:lineRule="exact"/>
        <w:ind w:left="0" w:leftChars="0" w:firstLine="0" w:firstLineChars="0"/>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铁炉村</w:t>
      </w:r>
      <w:r>
        <w:rPr>
          <w:rFonts w:hint="eastAsia" w:ascii="Times New Roman" w:eastAsia="方正仿宋_GBK" w:cs="Times New Roman"/>
          <w:sz w:val="32"/>
          <w:szCs w:val="32"/>
          <w:lang w:val="en-US" w:eastAsia="zh-CN"/>
        </w:rPr>
        <w:t>委，相关科室</w:t>
      </w:r>
      <w:r>
        <w:rPr>
          <w:rFonts w:hint="default" w:ascii="Times New Roman" w:hAnsi="Times New Roman" w:eastAsia="方正仿宋_GBK" w:cs="Times New Roman"/>
          <w:sz w:val="32"/>
          <w:szCs w:val="32"/>
        </w:rPr>
        <w:t>：</w:t>
      </w:r>
    </w:p>
    <w:p w14:paraId="31FCD33A">
      <w:pPr>
        <w:keepNext w:val="0"/>
        <w:keepLines w:val="0"/>
        <w:pageBreakBefore w:val="0"/>
        <w:widowControl w:val="0"/>
        <w:kinsoku/>
        <w:wordWrap w:val="0"/>
        <w:overflowPunct w:val="0"/>
        <w:topLinePunct/>
        <w:autoSpaceDE w:val="0"/>
        <w:autoSpaceDN w:val="0"/>
        <w:bidi w:val="0"/>
        <w:adjustRightInd/>
        <w:snapToGrid/>
        <w:spacing w:beforeAutospacing="0" w:afterAutospacing="0" w:line="580" w:lineRule="exact"/>
        <w:ind w:left="0"/>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黄石</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铁炉沟集中式饮用水水源地</w:t>
      </w:r>
      <w:r>
        <w:rPr>
          <w:rFonts w:hint="default" w:ascii="Times New Roman" w:hAnsi="Times New Roman" w:eastAsia="方正仿宋_GBK" w:cs="Times New Roman"/>
          <w:sz w:val="32"/>
          <w:szCs w:val="32"/>
        </w:rPr>
        <w:t>水质达标整治方案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已经镇</w:t>
      </w:r>
      <w:r>
        <w:rPr>
          <w:rFonts w:hint="default" w:ascii="Times New Roman" w:hAnsi="Times New Roman" w:eastAsia="方正仿宋_GBK" w:cs="Times New Roman"/>
          <w:sz w:val="32"/>
          <w:szCs w:val="32"/>
          <w:lang w:eastAsia="zh-CN"/>
        </w:rPr>
        <w:t>党委</w:t>
      </w:r>
      <w:r>
        <w:rPr>
          <w:rFonts w:hint="default" w:ascii="Times New Roman" w:hAnsi="Times New Roman" w:eastAsia="方正仿宋_GBK" w:cs="Times New Roman"/>
          <w:sz w:val="32"/>
          <w:szCs w:val="32"/>
        </w:rPr>
        <w:t>、政府同意，现印发给你们，请认真贯彻落实。</w:t>
      </w:r>
    </w:p>
    <w:p w14:paraId="31C1D26C">
      <w:pPr>
        <w:keepNext w:val="0"/>
        <w:keepLines w:val="0"/>
        <w:pageBreakBefore w:val="0"/>
        <w:widowControl w:val="0"/>
        <w:kinsoku/>
        <w:wordWrap w:val="0"/>
        <w:overflowPunct w:val="0"/>
        <w:topLinePunct/>
        <w:autoSpaceDE w:val="0"/>
        <w:autoSpaceDN w:val="0"/>
        <w:bidi w:val="0"/>
        <w:adjustRightInd/>
        <w:snapToGrid/>
        <w:spacing w:beforeAutospacing="0" w:afterAutospacing="0" w:line="580" w:lineRule="exact"/>
        <w:ind w:left="0"/>
        <w:textAlignment w:val="top"/>
        <w:rPr>
          <w:rFonts w:hint="default" w:ascii="Times New Roman" w:hAnsi="Times New Roman" w:eastAsia="微软雅黑" w:cs="Times New Roman"/>
          <w:i w:val="0"/>
          <w:iCs w:val="0"/>
          <w:caps w:val="0"/>
          <w:color w:val="424242"/>
          <w:spacing w:val="0"/>
          <w:sz w:val="31"/>
          <w:szCs w:val="31"/>
          <w:shd w:val="clear" w:fill="FFFFFF"/>
        </w:rPr>
      </w:pPr>
      <w:r>
        <w:rPr>
          <w:rFonts w:hint="default" w:ascii="Times New Roman" w:hAnsi="Times New Roman" w:eastAsia="微软雅黑" w:cs="Times New Roman"/>
          <w:i w:val="0"/>
          <w:iCs w:val="0"/>
          <w:caps w:val="0"/>
          <w:color w:val="424242"/>
          <w:spacing w:val="0"/>
          <w:sz w:val="31"/>
          <w:szCs w:val="31"/>
          <w:shd w:val="clear" w:fill="FFFFFF"/>
        </w:rPr>
        <w:t> </w:t>
      </w:r>
    </w:p>
    <w:p w14:paraId="6BA2FD78">
      <w:pPr>
        <w:pStyle w:val="2"/>
        <w:pageBreakBefore w:val="0"/>
        <w:widowControl w:val="0"/>
        <w:kinsoku/>
        <w:bidi w:val="0"/>
        <w:spacing w:before="0" w:beforeLines="0" w:beforeAutospacing="0" w:after="0" w:afterLines="0" w:afterAutospacing="0"/>
        <w:ind w:left="0"/>
        <w:rPr>
          <w:rFonts w:hint="default" w:ascii="Times New Roman" w:hAnsi="Times New Roman" w:cs="Times New Roman"/>
        </w:rPr>
      </w:pPr>
    </w:p>
    <w:p w14:paraId="4CABEB10">
      <w:pPr>
        <w:keepNext w:val="0"/>
        <w:keepLines w:val="0"/>
        <w:pageBreakBefore w:val="0"/>
        <w:widowControl w:val="0"/>
        <w:kinsoku/>
        <w:wordWrap w:val="0"/>
        <w:overflowPunct w:val="0"/>
        <w:topLinePunct/>
        <w:autoSpaceDE w:val="0"/>
        <w:autoSpaceDN w:val="0"/>
        <w:bidi w:val="0"/>
        <w:adjustRightInd/>
        <w:snapToGrid/>
        <w:spacing w:beforeAutospacing="0" w:afterAutospacing="0" w:line="580" w:lineRule="exact"/>
        <w:ind w:left="0"/>
        <w:textAlignment w:val="top"/>
        <w:rPr>
          <w:rFonts w:hint="default" w:ascii="Times New Roman" w:hAnsi="Times New Roman" w:eastAsia="方正仿宋_GBK" w:cs="Times New Roman"/>
          <w:sz w:val="32"/>
          <w:szCs w:val="32"/>
          <w:lang w:val="en-US" w:eastAsia="zh-CN"/>
        </w:rPr>
      </w:pPr>
      <w:r>
        <w:rPr>
          <w:rFonts w:hint="default" w:ascii="Times New Roman" w:hAnsi="Times New Roman" w:cs="Times New Roman"/>
        </w:rPr>
        <w:t xml:space="preserve">                         </w:t>
      </w:r>
      <w:r>
        <w:rPr>
          <w:rFonts w:hint="default" w:ascii="Times New Roman" w:hAnsi="Times New Roman" w:eastAsia="方正仿宋_GBK" w:cs="Times New Roman"/>
          <w:sz w:val="32"/>
          <w:szCs w:val="32"/>
          <w:lang w:val="en-US" w:eastAsia="zh-CN"/>
        </w:rPr>
        <w:t>     云阳县黄石镇人民政府</w:t>
      </w:r>
    </w:p>
    <w:p w14:paraId="4E8EB733">
      <w:pPr>
        <w:keepNext w:val="0"/>
        <w:keepLines w:val="0"/>
        <w:pageBreakBefore w:val="0"/>
        <w:widowControl w:val="0"/>
        <w:kinsoku/>
        <w:wordWrap w:val="0"/>
        <w:overflowPunct w:val="0"/>
        <w:topLinePunct/>
        <w:autoSpaceDE w:val="0"/>
        <w:autoSpaceDN w:val="0"/>
        <w:bidi w:val="0"/>
        <w:adjustRightInd/>
        <w:snapToGrid/>
        <w:spacing w:beforeAutospacing="0" w:afterAutospacing="0" w:line="580" w:lineRule="exact"/>
        <w:ind w:left="0" w:firstLine="3840" w:firstLineChars="1200"/>
        <w:textAlignment w:val="top"/>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2023年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default" w:ascii="Times New Roman" w:eastAsia="方正仿宋_GBK" w:cs="Times New Roman"/>
          <w:sz w:val="32"/>
          <w:szCs w:val="32"/>
          <w:lang w:val="en" w:eastAsia="zh-CN"/>
        </w:rPr>
        <w:t>11</w:t>
      </w:r>
      <w:r>
        <w:rPr>
          <w:rFonts w:hint="default" w:ascii="Times New Roman" w:hAnsi="Times New Roman" w:eastAsia="方正仿宋_GBK" w:cs="Times New Roman"/>
          <w:sz w:val="32"/>
          <w:szCs w:val="32"/>
          <w:lang w:val="en-US" w:eastAsia="zh-CN"/>
        </w:rPr>
        <w:t>日</w:t>
      </w:r>
    </w:p>
    <w:p w14:paraId="6CFAA1E0">
      <w:pPr>
        <w:pStyle w:val="2"/>
        <w:rPr>
          <w:rFonts w:hint="default"/>
          <w:lang w:eastAsia="zh-CN"/>
        </w:rPr>
      </w:pPr>
      <w:r>
        <w:rPr>
          <w:rFonts w:hint="eastAsia" w:ascii="Times New Roman" w:eastAsia="方正仿宋_GBK" w:cs="Times New Roman"/>
          <w:sz w:val="32"/>
          <w:szCs w:val="32"/>
          <w:lang w:val="en-US" w:eastAsia="zh-CN"/>
        </w:rPr>
        <w:t xml:space="preserve">                 （此件公开发布）</w:t>
      </w:r>
    </w:p>
    <w:p w14:paraId="1DB9421D">
      <w:pPr>
        <w:pStyle w:val="2"/>
        <w:pageBreakBefore w:val="0"/>
        <w:widowControl w:val="0"/>
        <w:kinsoku/>
        <w:bidi w:val="0"/>
        <w:spacing w:before="0" w:beforeLines="0" w:beforeAutospacing="0" w:after="0" w:afterLines="0" w:afterAutospacing="0"/>
        <w:ind w:left="0"/>
        <w:rPr>
          <w:rFonts w:hint="eastAsia"/>
          <w:lang w:eastAsia="zh-CN"/>
        </w:rPr>
      </w:pPr>
    </w:p>
    <w:p w14:paraId="6743C922">
      <w:pPr>
        <w:pageBreakBefore w:val="0"/>
        <w:widowControl w:val="0"/>
        <w:kinsoku/>
        <w:wordWrap/>
        <w:bidi w:val="0"/>
        <w:spacing w:beforeAutospacing="0" w:afterAutospacing="0"/>
        <w:ind w:left="0" w:firstLine="0" w:firstLineChars="0"/>
        <w:jc w:val="center"/>
        <w:rPr>
          <w:rFonts w:hint="eastAsia" w:ascii="方正小标宋_GBK" w:hAnsi="方正小标宋_GBK" w:eastAsia="方正小标宋_GBK" w:cs="方正小标宋_GBK"/>
          <w:b w:val="0"/>
          <w:bCs w:val="0"/>
          <w:sz w:val="44"/>
          <w:szCs w:val="44"/>
          <w:lang w:eastAsia="zh-CN"/>
        </w:rPr>
      </w:pPr>
    </w:p>
    <w:p w14:paraId="4914F7EC">
      <w:pPr>
        <w:pageBreakBefore w:val="0"/>
        <w:widowControl w:val="0"/>
        <w:kinsoku/>
        <w:wordWrap/>
        <w:bidi w:val="0"/>
        <w:spacing w:beforeAutospacing="0" w:afterAutospacing="0"/>
        <w:ind w:left="0" w:firstLine="0" w:firstLineChars="0"/>
        <w:jc w:val="center"/>
        <w:rPr>
          <w:rFonts w:hint="eastAsia" w:ascii="Times New Roman" w:eastAsia="宋体"/>
          <w:b/>
          <w:bCs/>
          <w:sz w:val="52"/>
          <w:szCs w:val="52"/>
          <w:lang w:eastAsia="zh-CN"/>
        </w:rPr>
      </w:pPr>
      <w:r>
        <w:rPr>
          <w:rFonts w:ascii="Times New Roman"/>
          <w:b/>
          <w:bCs/>
          <w:sz w:val="52"/>
          <w:szCs w:val="52"/>
        </w:rPr>
        <w:br w:type="page"/>
      </w:r>
    </w:p>
    <w:p w14:paraId="4FD07C97">
      <w:pPr>
        <w:pStyle w:val="2"/>
        <w:pageBreakBefore w:val="0"/>
        <w:widowControl w:val="0"/>
        <w:kinsoku/>
        <w:bidi w:val="0"/>
        <w:spacing w:before="0" w:beforeLines="0" w:beforeAutospacing="0" w:after="0" w:afterLines="0" w:afterAutospacing="0"/>
        <w:ind w:left="0"/>
      </w:pPr>
    </w:p>
    <w:p w14:paraId="20233584">
      <w:pPr>
        <w:pageBreakBefore w:val="0"/>
        <w:widowControl w:val="0"/>
        <w:kinsoku/>
        <w:wordWrap/>
        <w:bidi w:val="0"/>
        <w:spacing w:beforeAutospacing="0" w:afterAutospacing="0"/>
        <w:ind w:left="0" w:firstLine="0" w:firstLineChars="0"/>
        <w:jc w:val="center"/>
        <w:rPr>
          <w:rFonts w:hint="eastAsia" w:ascii="方正小标宋_GBK" w:hAnsi="方正小标宋_GBK" w:eastAsia="方正小标宋_GBK" w:cs="方正小标宋_GBK"/>
          <w:b w:val="0"/>
          <w:bCs w:val="0"/>
          <w:sz w:val="52"/>
          <w:szCs w:val="52"/>
        </w:rPr>
      </w:pPr>
    </w:p>
    <w:p w14:paraId="635C5F72">
      <w:pPr>
        <w:pageBreakBefore w:val="0"/>
        <w:widowControl w:val="0"/>
        <w:kinsoku/>
        <w:wordWrap/>
        <w:bidi w:val="0"/>
        <w:spacing w:beforeAutospacing="0" w:afterAutospacing="0"/>
        <w:ind w:left="0" w:firstLine="0" w:firstLineChars="0"/>
        <w:jc w:val="center"/>
        <w:rPr>
          <w:rFonts w:hint="eastAsia" w:ascii="方正小标宋_GBK" w:hAnsi="方正小标宋_GBK" w:eastAsia="方正小标宋_GBK" w:cs="方正小标宋_GBK"/>
          <w:b w:val="0"/>
          <w:bCs w:val="0"/>
          <w:sz w:val="52"/>
          <w:szCs w:val="52"/>
        </w:rPr>
      </w:pPr>
    </w:p>
    <w:p w14:paraId="68E92313">
      <w:pPr>
        <w:pageBreakBefore w:val="0"/>
        <w:widowControl w:val="0"/>
        <w:kinsoku/>
        <w:wordWrap/>
        <w:bidi w:val="0"/>
        <w:spacing w:beforeAutospacing="0" w:afterAutospacing="0"/>
        <w:ind w:left="0" w:firstLine="0" w:firstLineChars="0"/>
        <w:jc w:val="center"/>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z w:val="52"/>
          <w:szCs w:val="52"/>
        </w:rPr>
        <w:t>重庆市</w:t>
      </w:r>
      <w:r>
        <w:rPr>
          <w:rFonts w:hint="eastAsia" w:ascii="方正小标宋_GBK" w:hAnsi="方正小标宋_GBK" w:eastAsia="方正小标宋_GBK" w:cs="方正小标宋_GBK"/>
          <w:b w:val="0"/>
          <w:bCs w:val="0"/>
          <w:sz w:val="52"/>
          <w:szCs w:val="52"/>
          <w:lang w:val="en-US" w:eastAsia="zh-CN"/>
        </w:rPr>
        <w:t>云阳县黄石</w:t>
      </w:r>
      <w:r>
        <w:rPr>
          <w:rFonts w:hint="eastAsia" w:ascii="方正小标宋_GBK" w:hAnsi="方正小标宋_GBK" w:eastAsia="方正小标宋_GBK" w:cs="方正小标宋_GBK"/>
          <w:b w:val="0"/>
          <w:bCs w:val="0"/>
          <w:sz w:val="52"/>
          <w:szCs w:val="52"/>
        </w:rPr>
        <w:t>镇</w:t>
      </w:r>
    </w:p>
    <w:p w14:paraId="460CF542">
      <w:pPr>
        <w:pageBreakBefore w:val="0"/>
        <w:widowControl w:val="0"/>
        <w:kinsoku/>
        <w:wordWrap/>
        <w:bidi w:val="0"/>
        <w:spacing w:beforeAutospacing="0" w:afterAutospacing="0"/>
        <w:ind w:left="0" w:firstLine="0" w:firstLineChars="0"/>
        <w:jc w:val="center"/>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铁炉沟集中式饮用水水源地</w:t>
      </w:r>
    </w:p>
    <w:p w14:paraId="45D2809C">
      <w:pPr>
        <w:pageBreakBefore w:val="0"/>
        <w:widowControl w:val="0"/>
        <w:kinsoku/>
        <w:wordWrap/>
        <w:bidi w:val="0"/>
        <w:spacing w:beforeAutospacing="0" w:afterAutospacing="0"/>
        <w:ind w:left="0" w:firstLine="0" w:firstLineChars="0"/>
        <w:jc w:val="center"/>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z w:val="52"/>
          <w:szCs w:val="52"/>
        </w:rPr>
        <w:t>水质达标整治方案</w:t>
      </w:r>
    </w:p>
    <w:p w14:paraId="74B8E1A6">
      <w:pPr>
        <w:pageBreakBefore w:val="0"/>
        <w:widowControl w:val="0"/>
        <w:kinsoku/>
        <w:wordWrap/>
        <w:bidi w:val="0"/>
        <w:spacing w:beforeAutospacing="0" w:afterAutospacing="0"/>
        <w:ind w:left="0" w:firstLine="0" w:firstLineChars="0"/>
        <w:jc w:val="center"/>
        <w:rPr>
          <w:rFonts w:ascii="Times New Roman"/>
          <w:b/>
          <w:bCs/>
          <w:sz w:val="52"/>
          <w:szCs w:val="52"/>
        </w:rPr>
      </w:pPr>
    </w:p>
    <w:p w14:paraId="0D6DACD0">
      <w:pPr>
        <w:pageBreakBefore w:val="0"/>
        <w:widowControl w:val="0"/>
        <w:kinsoku/>
        <w:wordWrap/>
        <w:bidi w:val="0"/>
        <w:spacing w:beforeAutospacing="0" w:afterAutospacing="0"/>
        <w:ind w:left="0" w:firstLine="0" w:firstLineChars="0"/>
        <w:jc w:val="center"/>
        <w:rPr>
          <w:rFonts w:ascii="Times New Roman"/>
          <w:b/>
          <w:bCs/>
          <w:sz w:val="52"/>
          <w:szCs w:val="52"/>
        </w:rPr>
      </w:pPr>
    </w:p>
    <w:p w14:paraId="1F5A5D2F">
      <w:pPr>
        <w:pageBreakBefore w:val="0"/>
        <w:widowControl w:val="0"/>
        <w:kinsoku/>
        <w:wordWrap/>
        <w:bidi w:val="0"/>
        <w:spacing w:beforeAutospacing="0" w:afterAutospacing="0"/>
        <w:ind w:left="0" w:firstLine="0" w:firstLineChars="0"/>
        <w:jc w:val="center"/>
        <w:rPr>
          <w:rFonts w:ascii="Times New Roman"/>
          <w:b/>
          <w:bCs/>
          <w:sz w:val="52"/>
          <w:szCs w:val="52"/>
        </w:rPr>
      </w:pPr>
    </w:p>
    <w:p w14:paraId="2858D844">
      <w:pPr>
        <w:pageBreakBefore w:val="0"/>
        <w:widowControl w:val="0"/>
        <w:kinsoku/>
        <w:wordWrap/>
        <w:bidi w:val="0"/>
        <w:spacing w:beforeAutospacing="0" w:afterAutospacing="0"/>
        <w:ind w:left="0" w:firstLine="0" w:firstLineChars="0"/>
        <w:jc w:val="center"/>
        <w:rPr>
          <w:rFonts w:ascii="Times New Roman"/>
          <w:b/>
          <w:bCs/>
          <w:sz w:val="52"/>
          <w:szCs w:val="52"/>
        </w:rPr>
      </w:pPr>
    </w:p>
    <w:p w14:paraId="0441E877">
      <w:pPr>
        <w:pageBreakBefore w:val="0"/>
        <w:widowControl w:val="0"/>
        <w:kinsoku/>
        <w:wordWrap/>
        <w:bidi w:val="0"/>
        <w:spacing w:beforeAutospacing="0" w:afterAutospacing="0"/>
        <w:ind w:left="0" w:firstLine="0" w:firstLineChars="0"/>
        <w:jc w:val="center"/>
        <w:rPr>
          <w:rFonts w:ascii="Times New Roman"/>
          <w:b/>
          <w:bCs/>
          <w:sz w:val="52"/>
          <w:szCs w:val="52"/>
        </w:rPr>
      </w:pPr>
    </w:p>
    <w:p w14:paraId="29A03BEA">
      <w:pPr>
        <w:pageBreakBefore w:val="0"/>
        <w:widowControl w:val="0"/>
        <w:kinsoku/>
        <w:wordWrap/>
        <w:bidi w:val="0"/>
        <w:spacing w:beforeAutospacing="0" w:afterAutospacing="0"/>
        <w:ind w:left="0" w:firstLine="0" w:firstLineChars="0"/>
        <w:jc w:val="center"/>
        <w:rPr>
          <w:rFonts w:ascii="Times New Roman"/>
          <w:b/>
          <w:bCs/>
          <w:sz w:val="52"/>
          <w:szCs w:val="52"/>
        </w:rPr>
      </w:pPr>
    </w:p>
    <w:p w14:paraId="13DEFBEA">
      <w:pPr>
        <w:pageBreakBefore w:val="0"/>
        <w:widowControl w:val="0"/>
        <w:kinsoku/>
        <w:wordWrap/>
        <w:bidi w:val="0"/>
        <w:spacing w:beforeAutospacing="0" w:afterAutospacing="0"/>
        <w:ind w:left="0" w:firstLine="0" w:firstLineChars="0"/>
        <w:jc w:val="center"/>
        <w:rPr>
          <w:rFonts w:ascii="Times New Roman"/>
          <w:b/>
          <w:bCs/>
          <w:sz w:val="52"/>
          <w:szCs w:val="52"/>
        </w:rPr>
      </w:pPr>
    </w:p>
    <w:p w14:paraId="04B56588">
      <w:pPr>
        <w:pageBreakBefore w:val="0"/>
        <w:widowControl w:val="0"/>
        <w:kinsoku/>
        <w:wordWrap/>
        <w:bidi w:val="0"/>
        <w:spacing w:beforeAutospacing="0" w:afterAutospacing="0"/>
        <w:ind w:left="0" w:firstLine="0" w:firstLineChars="0"/>
        <w:jc w:val="center"/>
        <w:rPr>
          <w:rFonts w:ascii="Times New Roman"/>
          <w:b/>
          <w:bCs/>
          <w:sz w:val="52"/>
          <w:szCs w:val="52"/>
        </w:rPr>
      </w:pPr>
    </w:p>
    <w:p w14:paraId="03E961A3">
      <w:pPr>
        <w:pageBreakBefore w:val="0"/>
        <w:widowControl w:val="0"/>
        <w:kinsoku/>
        <w:wordWrap/>
        <w:bidi w:val="0"/>
        <w:spacing w:beforeAutospacing="0" w:afterAutospacing="0"/>
        <w:ind w:left="0" w:firstLine="0" w:firstLineChars="0"/>
        <w:jc w:val="both"/>
        <w:rPr>
          <w:rFonts w:ascii="Times New Roman"/>
          <w:b/>
          <w:bCs/>
          <w:sz w:val="52"/>
          <w:szCs w:val="52"/>
        </w:rPr>
      </w:pPr>
    </w:p>
    <w:p w14:paraId="7DC20C2E">
      <w:pPr>
        <w:pageBreakBefore w:val="0"/>
        <w:widowControl w:val="0"/>
        <w:kinsoku/>
        <w:wordWrap/>
        <w:bidi w:val="0"/>
        <w:spacing w:beforeAutospacing="0" w:afterAutospacing="0"/>
        <w:ind w:left="0" w:firstLine="0" w:firstLineChars="0"/>
        <w:jc w:val="center"/>
        <w:rPr>
          <w:rFonts w:hint="eastAsia" w:ascii="Times New Roman" w:eastAsia="宋体"/>
          <w:b/>
          <w:bCs/>
          <w:sz w:val="36"/>
          <w:szCs w:val="36"/>
          <w:lang w:eastAsia="zh-CN"/>
        </w:rPr>
      </w:pPr>
      <w:r>
        <w:rPr>
          <w:rFonts w:hint="eastAsia" w:ascii="Times New Roman" w:hAnsi="宋体"/>
          <w:b/>
          <w:bCs/>
          <w:sz w:val="36"/>
          <w:szCs w:val="36"/>
        </w:rPr>
        <w:t>重庆市</w:t>
      </w:r>
      <w:r>
        <w:rPr>
          <w:rFonts w:hint="eastAsia" w:ascii="Times New Roman" w:hAnsi="宋体"/>
          <w:b/>
          <w:bCs/>
          <w:sz w:val="36"/>
          <w:szCs w:val="36"/>
          <w:lang w:val="en-US" w:eastAsia="zh-CN"/>
        </w:rPr>
        <w:t>云阳县</w:t>
      </w:r>
      <w:r>
        <w:rPr>
          <w:rFonts w:hint="eastAsia" w:ascii="Times New Roman" w:hAnsi="宋体"/>
          <w:b/>
          <w:bCs/>
          <w:sz w:val="36"/>
          <w:szCs w:val="36"/>
          <w:lang w:eastAsia="zh-CN"/>
        </w:rPr>
        <w:t>黄石镇人民政府</w:t>
      </w:r>
    </w:p>
    <w:p w14:paraId="45966C8D">
      <w:pPr>
        <w:pageBreakBefore w:val="0"/>
        <w:widowControl w:val="0"/>
        <w:kinsoku/>
        <w:bidi w:val="0"/>
        <w:spacing w:beforeAutospacing="0" w:afterAutospacing="0"/>
        <w:ind w:left="0" w:firstLine="2711" w:firstLineChars="750"/>
        <w:rPr>
          <w:rFonts w:ascii="Times New Roman" w:hAnsi="宋体"/>
          <w:b/>
          <w:bCs/>
          <w:sz w:val="36"/>
          <w:szCs w:val="36"/>
        </w:rPr>
      </w:pPr>
      <w:r>
        <w:rPr>
          <w:rFonts w:ascii="Times New Roman" w:hAnsi="宋体"/>
          <w:b/>
          <w:bCs/>
          <w:sz w:val="36"/>
          <w:szCs w:val="36"/>
        </w:rPr>
        <w:t>二</w:t>
      </w:r>
      <w:r>
        <w:rPr>
          <w:rFonts w:hint="eastAsia" w:ascii="Times New Roman" w:hAnsi="宋体"/>
          <w:b/>
          <w:bCs/>
          <w:sz w:val="36"/>
          <w:szCs w:val="36"/>
        </w:rPr>
        <w:t>〇二</w:t>
      </w:r>
      <w:r>
        <w:rPr>
          <w:rFonts w:hint="eastAsia" w:ascii="Times New Roman" w:hAnsi="宋体"/>
          <w:b/>
          <w:bCs/>
          <w:sz w:val="36"/>
          <w:szCs w:val="36"/>
          <w:lang w:val="en-US" w:eastAsia="zh-CN"/>
        </w:rPr>
        <w:t>三</w:t>
      </w:r>
      <w:r>
        <w:rPr>
          <w:rFonts w:ascii="Times New Roman" w:hAnsi="宋体"/>
          <w:b/>
          <w:bCs/>
          <w:sz w:val="36"/>
          <w:szCs w:val="36"/>
        </w:rPr>
        <w:t>年</w:t>
      </w:r>
      <w:r>
        <w:rPr>
          <w:rFonts w:hint="eastAsia" w:ascii="Times New Roman" w:hAnsi="宋体"/>
          <w:b/>
          <w:bCs/>
          <w:sz w:val="36"/>
          <w:szCs w:val="36"/>
          <w:lang w:eastAsia="zh-CN"/>
        </w:rPr>
        <w:t>九</w:t>
      </w:r>
      <w:r>
        <w:rPr>
          <w:rFonts w:ascii="Times New Roman" w:hAnsi="宋体"/>
          <w:b/>
          <w:bCs/>
          <w:sz w:val="36"/>
          <w:szCs w:val="36"/>
        </w:rPr>
        <w:t>月</w:t>
      </w:r>
    </w:p>
    <w:p w14:paraId="58396CDE">
      <w:pPr>
        <w:pageBreakBefore w:val="0"/>
        <w:widowControl w:val="0"/>
        <w:kinsoku/>
        <w:bidi w:val="0"/>
        <w:spacing w:beforeAutospacing="0" w:afterAutospacing="0"/>
        <w:ind w:left="0" w:firstLine="2711" w:firstLineChars="750"/>
        <w:rPr>
          <w:rFonts w:ascii="Times New Roman" w:hAnsi="宋体"/>
          <w:b/>
          <w:bCs/>
          <w:sz w:val="36"/>
          <w:szCs w:val="36"/>
        </w:rPr>
      </w:pPr>
    </w:p>
    <w:p w14:paraId="5AB557A5">
      <w:pPr>
        <w:pageBreakBefore w:val="0"/>
        <w:widowControl w:val="0"/>
        <w:kinsoku/>
        <w:bidi w:val="0"/>
        <w:spacing w:beforeAutospacing="0" w:afterAutospacing="0"/>
        <w:ind w:left="0" w:firstLine="2711" w:firstLineChars="750"/>
        <w:rPr>
          <w:rFonts w:ascii="Times New Roman" w:hAnsi="宋体"/>
          <w:b/>
          <w:bCs/>
          <w:sz w:val="36"/>
          <w:szCs w:val="36"/>
        </w:rPr>
      </w:pPr>
    </w:p>
    <w:p w14:paraId="191298EF">
      <w:pPr>
        <w:pageBreakBefore w:val="0"/>
        <w:widowControl w:val="0"/>
        <w:kinsoku/>
        <w:bidi w:val="0"/>
        <w:spacing w:beforeAutospacing="0" w:afterAutospacing="0"/>
        <w:ind w:left="0" w:firstLine="2711" w:firstLineChars="750"/>
        <w:rPr>
          <w:rFonts w:ascii="Times New Roman" w:hAnsi="宋体"/>
          <w:b/>
          <w:bCs/>
          <w:sz w:val="36"/>
          <w:szCs w:val="36"/>
        </w:rPr>
      </w:pPr>
    </w:p>
    <w:p w14:paraId="3C878303">
      <w:pPr>
        <w:pageBreakBefore w:val="0"/>
        <w:widowControl w:val="0"/>
        <w:kinsoku/>
        <w:bidi w:val="0"/>
        <w:spacing w:beforeAutospacing="0" w:afterAutospacing="0"/>
        <w:ind w:left="0" w:firstLine="2711" w:firstLineChars="750"/>
        <w:rPr>
          <w:rFonts w:ascii="Times New Roman" w:hAnsi="宋体"/>
          <w:b/>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asciiTheme="minorEastAsia" w:hAnsiTheme="minorEastAsia" w:eastAsiaTheme="minorEastAsia" w:cstheme="minorBidi"/>
          <w:b w:val="0"/>
          <w:bCs w:val="0"/>
          <w:kern w:val="2"/>
          <w:sz w:val="28"/>
          <w:szCs w:val="22"/>
          <w:lang w:val="zh-CN"/>
        </w:rPr>
        <w:id w:val="-1677949751"/>
        <w:docPartObj>
          <w:docPartGallery w:val="Table of Contents"/>
          <w:docPartUnique/>
        </w:docPartObj>
      </w:sdtPr>
      <w:sdtEndPr>
        <w:rPr>
          <w:rFonts w:ascii="宋体" w:hAnsi="Times New Roman" w:eastAsia="宋体" w:cs="Times New Roman"/>
          <w:b w:val="0"/>
          <w:bCs w:val="0"/>
          <w:kern w:val="0"/>
          <w:sz w:val="24"/>
          <w:szCs w:val="20"/>
          <w:lang w:val="zh-CN"/>
        </w:rPr>
      </w:sdtEndPr>
      <w:sdtContent>
        <w:p w14:paraId="19D9B405">
          <w:pPr>
            <w:pStyle w:val="73"/>
            <w:pageBreakBefore w:val="0"/>
            <w:widowControl w:val="0"/>
            <w:kinsoku/>
            <w:bidi w:val="0"/>
            <w:spacing w:before="0" w:beforeAutospacing="0" w:after="0" w:afterAutospacing="0"/>
            <w:ind w:left="0" w:firstLine="560"/>
            <w:jc w:val="center"/>
          </w:pPr>
          <w:r>
            <w:rPr>
              <w:lang w:val="zh-CN"/>
            </w:rPr>
            <w:t>目录</w:t>
          </w:r>
        </w:p>
        <w:p w14:paraId="12732C7E">
          <w:pPr>
            <w:pStyle w:val="23"/>
            <w:pageBreakBefore w:val="0"/>
            <w:widowControl w:val="0"/>
            <w:tabs>
              <w:tab w:val="right" w:leader="dot" w:pos="9070"/>
            </w:tabs>
            <w:kinsoku/>
            <w:bidi w:val="0"/>
            <w:spacing w:beforeAutospacing="0" w:afterAutospacing="0"/>
            <w:ind w:left="0"/>
          </w:pPr>
          <w:r>
            <w:fldChar w:fldCharType="begin"/>
          </w:r>
          <w:r>
            <w:instrText xml:space="preserve"> TOC \o "1-3" \h \z \u </w:instrText>
          </w:r>
          <w:r>
            <w:fldChar w:fldCharType="separate"/>
          </w:r>
          <w:r>
            <w:fldChar w:fldCharType="begin"/>
          </w:r>
          <w:r>
            <w:instrText xml:space="preserve"> HYPERLINK \l _Toc23217 </w:instrText>
          </w:r>
          <w:r>
            <w:fldChar w:fldCharType="separate"/>
          </w:r>
          <w:r>
            <w:rPr>
              <w:rFonts w:hint="eastAsia"/>
            </w:rPr>
            <w:t xml:space="preserve">1 </w:t>
          </w:r>
          <w:r>
            <w:t>前言</w:t>
          </w:r>
          <w:r>
            <w:tab/>
          </w:r>
          <w:r>
            <w:fldChar w:fldCharType="begin"/>
          </w:r>
          <w:r>
            <w:instrText xml:space="preserve"> PAGEREF _Toc23217 \h </w:instrText>
          </w:r>
          <w:r>
            <w:fldChar w:fldCharType="separate"/>
          </w:r>
          <w:r>
            <w:t>3</w:t>
          </w:r>
          <w:r>
            <w:fldChar w:fldCharType="end"/>
          </w:r>
          <w:r>
            <w:fldChar w:fldCharType="end"/>
          </w:r>
        </w:p>
        <w:p w14:paraId="44BC034C">
          <w:pPr>
            <w:pStyle w:val="23"/>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_Toc9073 </w:instrText>
          </w:r>
          <w:r>
            <w:rPr>
              <w:bCs/>
              <w:lang w:val="zh-CN"/>
            </w:rPr>
            <w:fldChar w:fldCharType="separate"/>
          </w:r>
          <w:r>
            <w:rPr>
              <w:rFonts w:hint="eastAsia"/>
            </w:rPr>
            <w:t xml:space="preserve">2 </w:t>
          </w:r>
          <w:r>
            <w:t>总论</w:t>
          </w:r>
          <w:r>
            <w:tab/>
          </w:r>
          <w:r>
            <w:fldChar w:fldCharType="begin"/>
          </w:r>
          <w:r>
            <w:instrText xml:space="preserve"> PAGEREF _Toc9073 \h </w:instrText>
          </w:r>
          <w:r>
            <w:fldChar w:fldCharType="separate"/>
          </w:r>
          <w:r>
            <w:t>3</w:t>
          </w:r>
          <w:r>
            <w:fldChar w:fldCharType="end"/>
          </w:r>
          <w:r>
            <w:rPr>
              <w:bCs/>
              <w:lang w:val="zh-CN"/>
            </w:rPr>
            <w:fldChar w:fldCharType="end"/>
          </w:r>
        </w:p>
        <w:p w14:paraId="57DBEE58">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_Toc17398 </w:instrText>
          </w:r>
          <w:r>
            <w:rPr>
              <w:bCs/>
              <w:lang w:val="zh-CN"/>
            </w:rPr>
            <w:fldChar w:fldCharType="separate"/>
          </w:r>
          <w:r>
            <w:rPr>
              <w:rFonts w:hint="eastAsia"/>
            </w:rPr>
            <w:t xml:space="preserve">2.1 </w:t>
          </w:r>
          <w:r>
            <w:t>指导思想</w:t>
          </w:r>
          <w:r>
            <w:tab/>
          </w:r>
          <w:r>
            <w:fldChar w:fldCharType="begin"/>
          </w:r>
          <w:r>
            <w:instrText xml:space="preserve"> PAGEREF _Toc17398 \h </w:instrText>
          </w:r>
          <w:r>
            <w:fldChar w:fldCharType="separate"/>
          </w:r>
          <w:r>
            <w:t>3</w:t>
          </w:r>
          <w:r>
            <w:fldChar w:fldCharType="end"/>
          </w:r>
          <w:r>
            <w:rPr>
              <w:bCs/>
              <w:lang w:val="zh-CN"/>
            </w:rPr>
            <w:fldChar w:fldCharType="end"/>
          </w:r>
        </w:p>
        <w:p w14:paraId="587BC9AC">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_Toc29962 </w:instrText>
          </w:r>
          <w:r>
            <w:rPr>
              <w:bCs/>
              <w:lang w:val="zh-CN"/>
            </w:rPr>
            <w:fldChar w:fldCharType="separate"/>
          </w:r>
          <w:r>
            <w:rPr>
              <w:rFonts w:hint="eastAsia"/>
            </w:rPr>
            <w:t xml:space="preserve">2.2 </w:t>
          </w:r>
          <w:r>
            <w:t>编制依据和原则</w:t>
          </w:r>
          <w:r>
            <w:tab/>
          </w:r>
          <w:r>
            <w:fldChar w:fldCharType="begin"/>
          </w:r>
          <w:r>
            <w:instrText xml:space="preserve"> PAGEREF _Toc29962 \h </w:instrText>
          </w:r>
          <w:r>
            <w:fldChar w:fldCharType="separate"/>
          </w:r>
          <w:r>
            <w:t>4</w:t>
          </w:r>
          <w:r>
            <w:fldChar w:fldCharType="end"/>
          </w:r>
          <w:r>
            <w:rPr>
              <w:bCs/>
              <w:lang w:val="zh-CN"/>
            </w:rPr>
            <w:fldChar w:fldCharType="end"/>
          </w:r>
        </w:p>
        <w:p w14:paraId="5E9072DB">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_Toc24850 </w:instrText>
          </w:r>
          <w:r>
            <w:rPr>
              <w:bCs/>
              <w:lang w:val="zh-CN"/>
            </w:rPr>
            <w:fldChar w:fldCharType="separate"/>
          </w:r>
          <w:r>
            <w:rPr>
              <w:rFonts w:hint="eastAsia"/>
            </w:rPr>
            <w:t xml:space="preserve">2.2.1 </w:t>
          </w:r>
          <w:r>
            <w:t>编制依据</w:t>
          </w:r>
          <w:r>
            <w:tab/>
          </w:r>
          <w:r>
            <w:fldChar w:fldCharType="begin"/>
          </w:r>
          <w:r>
            <w:instrText xml:space="preserve"> PAGEREF _Toc24850 \h </w:instrText>
          </w:r>
          <w:r>
            <w:fldChar w:fldCharType="separate"/>
          </w:r>
          <w:r>
            <w:t>4</w:t>
          </w:r>
          <w:r>
            <w:fldChar w:fldCharType="end"/>
          </w:r>
          <w:r>
            <w:rPr>
              <w:bCs/>
              <w:lang w:val="zh-CN"/>
            </w:rPr>
            <w:fldChar w:fldCharType="end"/>
          </w:r>
        </w:p>
        <w:p w14:paraId="44F91637">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_Toc14750 </w:instrText>
          </w:r>
          <w:r>
            <w:rPr>
              <w:bCs/>
              <w:lang w:val="zh-CN"/>
            </w:rPr>
            <w:fldChar w:fldCharType="separate"/>
          </w:r>
          <w:r>
            <w:rPr>
              <w:rFonts w:hint="eastAsia"/>
            </w:rPr>
            <w:t xml:space="preserve">2.2.2 </w:t>
          </w:r>
          <w:r>
            <w:t>编制原则</w:t>
          </w:r>
          <w:r>
            <w:tab/>
          </w:r>
          <w:r>
            <w:fldChar w:fldCharType="begin"/>
          </w:r>
          <w:r>
            <w:instrText xml:space="preserve"> PAGEREF _Toc14750 \h </w:instrText>
          </w:r>
          <w:r>
            <w:fldChar w:fldCharType="separate"/>
          </w:r>
          <w:r>
            <w:t>5</w:t>
          </w:r>
          <w:r>
            <w:fldChar w:fldCharType="end"/>
          </w:r>
          <w:r>
            <w:rPr>
              <w:bCs/>
              <w:lang w:val="zh-CN"/>
            </w:rPr>
            <w:fldChar w:fldCharType="end"/>
          </w:r>
        </w:p>
        <w:p w14:paraId="71B83D37">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_Toc19133 </w:instrText>
          </w:r>
          <w:r>
            <w:rPr>
              <w:bCs/>
              <w:lang w:val="zh-CN"/>
            </w:rPr>
            <w:fldChar w:fldCharType="separate"/>
          </w:r>
          <w:r>
            <w:rPr>
              <w:rFonts w:hint="eastAsia"/>
            </w:rPr>
            <w:t xml:space="preserve">2.3 </w:t>
          </w:r>
          <w:r>
            <w:t>方案时限和范围</w:t>
          </w:r>
          <w:r>
            <w:tab/>
          </w:r>
          <w:r>
            <w:fldChar w:fldCharType="begin"/>
          </w:r>
          <w:r>
            <w:instrText xml:space="preserve"> PAGEREF _Toc19133 \h </w:instrText>
          </w:r>
          <w:r>
            <w:fldChar w:fldCharType="separate"/>
          </w:r>
          <w:r>
            <w:t>6</w:t>
          </w:r>
          <w:r>
            <w:fldChar w:fldCharType="end"/>
          </w:r>
          <w:r>
            <w:rPr>
              <w:bCs/>
              <w:lang w:val="zh-CN"/>
            </w:rPr>
            <w:fldChar w:fldCharType="end"/>
          </w:r>
        </w:p>
        <w:p w14:paraId="5CA610AC">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_Toc13576 </w:instrText>
          </w:r>
          <w:r>
            <w:rPr>
              <w:bCs/>
              <w:lang w:val="zh-CN"/>
            </w:rPr>
            <w:fldChar w:fldCharType="separate"/>
          </w:r>
          <w:r>
            <w:rPr>
              <w:rFonts w:hint="eastAsia"/>
            </w:rPr>
            <w:t xml:space="preserve">2.3.1 </w:t>
          </w:r>
          <w:r>
            <w:t>方案时限</w:t>
          </w:r>
          <w:r>
            <w:tab/>
          </w:r>
          <w:r>
            <w:fldChar w:fldCharType="begin"/>
          </w:r>
          <w:r>
            <w:instrText xml:space="preserve"> PAGEREF _Toc13576 \h </w:instrText>
          </w:r>
          <w:r>
            <w:fldChar w:fldCharType="separate"/>
          </w:r>
          <w:r>
            <w:t>6</w:t>
          </w:r>
          <w:r>
            <w:fldChar w:fldCharType="end"/>
          </w:r>
          <w:r>
            <w:rPr>
              <w:bCs/>
              <w:lang w:val="zh-CN"/>
            </w:rPr>
            <w:fldChar w:fldCharType="end"/>
          </w:r>
        </w:p>
        <w:p w14:paraId="2F7A7553">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_Toc4959 </w:instrText>
          </w:r>
          <w:r>
            <w:rPr>
              <w:bCs/>
              <w:lang w:val="zh-CN"/>
            </w:rPr>
            <w:fldChar w:fldCharType="separate"/>
          </w:r>
          <w:r>
            <w:rPr>
              <w:rFonts w:hint="eastAsia"/>
            </w:rPr>
            <w:t xml:space="preserve">2.3.2 </w:t>
          </w:r>
          <w:r>
            <w:t>方案实施范围</w:t>
          </w:r>
          <w:r>
            <w:tab/>
          </w:r>
          <w:r>
            <w:fldChar w:fldCharType="begin"/>
          </w:r>
          <w:r>
            <w:instrText xml:space="preserve"> PAGEREF _Toc4959 \h </w:instrText>
          </w:r>
          <w:r>
            <w:fldChar w:fldCharType="separate"/>
          </w:r>
          <w:r>
            <w:t>6</w:t>
          </w:r>
          <w:r>
            <w:fldChar w:fldCharType="end"/>
          </w:r>
          <w:r>
            <w:rPr>
              <w:bCs/>
              <w:lang w:val="zh-CN"/>
            </w:rPr>
            <w:fldChar w:fldCharType="end"/>
          </w:r>
        </w:p>
        <w:p w14:paraId="0B992D67">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_Toc32290 </w:instrText>
          </w:r>
          <w:r>
            <w:rPr>
              <w:bCs/>
              <w:lang w:val="zh-CN"/>
            </w:rPr>
            <w:fldChar w:fldCharType="separate"/>
          </w:r>
          <w:r>
            <w:rPr>
              <w:rFonts w:hint="eastAsia"/>
            </w:rPr>
            <w:t xml:space="preserve">2.4 </w:t>
          </w:r>
          <w:r>
            <w:t>预期目标</w:t>
          </w:r>
          <w:r>
            <w:tab/>
          </w:r>
          <w:r>
            <w:fldChar w:fldCharType="begin"/>
          </w:r>
          <w:r>
            <w:instrText xml:space="preserve"> PAGEREF _Toc32290 \h </w:instrText>
          </w:r>
          <w:r>
            <w:fldChar w:fldCharType="separate"/>
          </w:r>
          <w:r>
            <w:t>6</w:t>
          </w:r>
          <w:r>
            <w:fldChar w:fldCharType="end"/>
          </w:r>
          <w:r>
            <w:rPr>
              <w:bCs/>
              <w:lang w:val="zh-CN"/>
            </w:rPr>
            <w:fldChar w:fldCharType="end"/>
          </w:r>
        </w:p>
        <w:p w14:paraId="4FB6CAE7">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_Toc21559 </w:instrText>
          </w:r>
          <w:r>
            <w:rPr>
              <w:bCs/>
              <w:lang w:val="zh-CN"/>
            </w:rPr>
            <w:fldChar w:fldCharType="separate"/>
          </w:r>
          <w:r>
            <w:rPr>
              <w:rFonts w:hint="eastAsia"/>
            </w:rPr>
            <w:t xml:space="preserve">2.4.1 </w:t>
          </w:r>
          <w:r>
            <w:t>总体目标</w:t>
          </w:r>
          <w:r>
            <w:tab/>
          </w:r>
          <w:r>
            <w:fldChar w:fldCharType="begin"/>
          </w:r>
          <w:r>
            <w:instrText xml:space="preserve"> PAGEREF _Toc21559 \h </w:instrText>
          </w:r>
          <w:r>
            <w:fldChar w:fldCharType="separate"/>
          </w:r>
          <w:r>
            <w:t>6</w:t>
          </w:r>
          <w:r>
            <w:fldChar w:fldCharType="end"/>
          </w:r>
          <w:r>
            <w:rPr>
              <w:bCs/>
              <w:lang w:val="zh-CN"/>
            </w:rPr>
            <w:fldChar w:fldCharType="end"/>
          </w:r>
        </w:p>
        <w:p w14:paraId="7579EC45">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_Toc22478 </w:instrText>
          </w:r>
          <w:r>
            <w:rPr>
              <w:bCs/>
              <w:lang w:val="zh-CN"/>
            </w:rPr>
            <w:fldChar w:fldCharType="separate"/>
          </w:r>
          <w:r>
            <w:rPr>
              <w:rFonts w:hint="eastAsia"/>
            </w:rPr>
            <w:t xml:space="preserve">2.4.2 </w:t>
          </w:r>
          <w:r>
            <w:t>环境质量目标</w:t>
          </w:r>
          <w:r>
            <w:tab/>
          </w:r>
          <w:r>
            <w:fldChar w:fldCharType="begin"/>
          </w:r>
          <w:r>
            <w:instrText xml:space="preserve"> PAGEREF _Toc22478 \h </w:instrText>
          </w:r>
          <w:r>
            <w:fldChar w:fldCharType="separate"/>
          </w:r>
          <w:r>
            <w:t>7</w:t>
          </w:r>
          <w:r>
            <w:fldChar w:fldCharType="end"/>
          </w:r>
          <w:r>
            <w:rPr>
              <w:bCs/>
              <w:lang w:val="zh-CN"/>
            </w:rPr>
            <w:fldChar w:fldCharType="end"/>
          </w:r>
        </w:p>
        <w:p w14:paraId="2BCB67EB">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_Toc8371 </w:instrText>
          </w:r>
          <w:r>
            <w:rPr>
              <w:bCs/>
              <w:lang w:val="zh-CN"/>
            </w:rPr>
            <w:fldChar w:fldCharType="separate"/>
          </w:r>
          <w:r>
            <w:rPr>
              <w:rFonts w:hint="eastAsia"/>
            </w:rPr>
            <w:t xml:space="preserve">2.5 </w:t>
          </w:r>
          <w:r>
            <w:t>技术路线</w:t>
          </w:r>
          <w:r>
            <w:tab/>
          </w:r>
          <w:r>
            <w:fldChar w:fldCharType="begin"/>
          </w:r>
          <w:r>
            <w:instrText xml:space="preserve"> PAGEREF _Toc8371 \h </w:instrText>
          </w:r>
          <w:r>
            <w:fldChar w:fldCharType="separate"/>
          </w:r>
          <w:r>
            <w:t>7</w:t>
          </w:r>
          <w:r>
            <w:fldChar w:fldCharType="end"/>
          </w:r>
          <w:r>
            <w:rPr>
              <w:bCs/>
              <w:lang w:val="zh-CN"/>
            </w:rPr>
            <w:fldChar w:fldCharType="end"/>
          </w:r>
        </w:p>
        <w:p w14:paraId="614D7F68">
          <w:pPr>
            <w:pStyle w:val="23"/>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_Toc23416 </w:instrText>
          </w:r>
          <w:r>
            <w:rPr>
              <w:bCs/>
              <w:lang w:val="zh-CN"/>
            </w:rPr>
            <w:fldChar w:fldCharType="separate"/>
          </w:r>
          <w:r>
            <w:rPr>
              <w:rFonts w:hint="eastAsia"/>
            </w:rPr>
            <w:t xml:space="preserve">3 </w:t>
          </w:r>
          <w:r>
            <w:rPr>
              <w:rFonts w:hint="eastAsia"/>
              <w:lang w:eastAsia="zh-CN"/>
            </w:rPr>
            <w:t>黄石镇铁炉沟黄石水厂水源地</w:t>
          </w:r>
          <w:r>
            <w:t>概况及社会经济状况调查</w:t>
          </w:r>
          <w:r>
            <w:tab/>
          </w:r>
          <w:r>
            <w:fldChar w:fldCharType="begin"/>
          </w:r>
          <w:r>
            <w:instrText xml:space="preserve"> PAGEREF _Toc23416 \h </w:instrText>
          </w:r>
          <w:r>
            <w:fldChar w:fldCharType="separate"/>
          </w:r>
          <w:r>
            <w:t>7</w:t>
          </w:r>
          <w:r>
            <w:fldChar w:fldCharType="end"/>
          </w:r>
          <w:r>
            <w:rPr>
              <w:bCs/>
              <w:lang w:val="zh-CN"/>
            </w:rPr>
            <w:fldChar w:fldCharType="end"/>
          </w:r>
        </w:p>
        <w:p w14:paraId="498C0360">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_Toc31102 </w:instrText>
          </w:r>
          <w:r>
            <w:rPr>
              <w:bCs/>
              <w:lang w:val="zh-CN"/>
            </w:rPr>
            <w:fldChar w:fldCharType="separate"/>
          </w:r>
          <w:r>
            <w:rPr>
              <w:rFonts w:hint="eastAsia"/>
            </w:rPr>
            <w:t xml:space="preserve">3.1 </w:t>
          </w:r>
          <w:r>
            <w:rPr>
              <w:rFonts w:hint="eastAsia"/>
              <w:lang w:val="en-US" w:eastAsia="zh-CN"/>
            </w:rPr>
            <w:t>黄石水厂</w:t>
          </w:r>
          <w:r>
            <w:t>基本情况</w:t>
          </w:r>
          <w:r>
            <w:tab/>
          </w:r>
          <w:r>
            <w:fldChar w:fldCharType="begin"/>
          </w:r>
          <w:r>
            <w:instrText xml:space="preserve"> PAGEREF _Toc31102 \h </w:instrText>
          </w:r>
          <w:r>
            <w:fldChar w:fldCharType="separate"/>
          </w:r>
          <w:r>
            <w:t>7</w:t>
          </w:r>
          <w:r>
            <w:fldChar w:fldCharType="end"/>
          </w:r>
          <w:r>
            <w:rPr>
              <w:bCs/>
              <w:lang w:val="zh-CN"/>
            </w:rPr>
            <w:fldChar w:fldCharType="end"/>
          </w:r>
        </w:p>
        <w:p w14:paraId="78D1D078">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_Toc18527 </w:instrText>
          </w:r>
          <w:r>
            <w:rPr>
              <w:bCs/>
              <w:lang w:val="zh-CN"/>
            </w:rPr>
            <w:fldChar w:fldCharType="separate"/>
          </w:r>
          <w:r>
            <w:rPr>
              <w:rFonts w:hint="eastAsia"/>
            </w:rPr>
            <w:t xml:space="preserve">3.2 </w:t>
          </w:r>
          <w:r>
            <w:t>水系与水资源</w:t>
          </w:r>
          <w:r>
            <w:tab/>
          </w:r>
          <w:r>
            <w:fldChar w:fldCharType="begin"/>
          </w:r>
          <w:r>
            <w:instrText xml:space="preserve"> PAGEREF _Toc18527 \h </w:instrText>
          </w:r>
          <w:r>
            <w:fldChar w:fldCharType="separate"/>
          </w:r>
          <w:r>
            <w:t>8</w:t>
          </w:r>
          <w:r>
            <w:fldChar w:fldCharType="end"/>
          </w:r>
          <w:r>
            <w:rPr>
              <w:bCs/>
              <w:lang w:val="zh-CN"/>
            </w:rPr>
            <w:fldChar w:fldCharType="end"/>
          </w:r>
        </w:p>
        <w:p w14:paraId="4ECCE41C">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_Toc25874 </w:instrText>
          </w:r>
          <w:r>
            <w:rPr>
              <w:bCs/>
              <w:lang w:val="zh-CN"/>
            </w:rPr>
            <w:fldChar w:fldCharType="separate"/>
          </w:r>
          <w:r>
            <w:rPr>
              <w:rFonts w:hint="eastAsia"/>
            </w:rPr>
            <w:t xml:space="preserve">3.3 </w:t>
          </w:r>
          <w:r>
            <w:t>社会经济</w:t>
          </w:r>
          <w:r>
            <w:rPr>
              <w:rFonts w:hint="eastAsia"/>
            </w:rPr>
            <w:t>概况</w:t>
          </w:r>
          <w:r>
            <w:tab/>
          </w:r>
          <w:r>
            <w:fldChar w:fldCharType="begin"/>
          </w:r>
          <w:r>
            <w:instrText xml:space="preserve"> PAGEREF _Toc25874 \h </w:instrText>
          </w:r>
          <w:r>
            <w:fldChar w:fldCharType="separate"/>
          </w:r>
          <w:r>
            <w:t>9</w:t>
          </w:r>
          <w:r>
            <w:fldChar w:fldCharType="end"/>
          </w:r>
          <w:r>
            <w:rPr>
              <w:bCs/>
              <w:lang w:val="zh-CN"/>
            </w:rPr>
            <w:fldChar w:fldCharType="end"/>
          </w:r>
        </w:p>
        <w:p w14:paraId="4EA26DD7">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_Toc9829 </w:instrText>
          </w:r>
          <w:r>
            <w:rPr>
              <w:bCs/>
              <w:lang w:val="zh-CN"/>
            </w:rPr>
            <w:fldChar w:fldCharType="separate"/>
          </w:r>
          <w:r>
            <w:rPr>
              <w:rFonts w:hint="eastAsia"/>
            </w:rPr>
            <w:t xml:space="preserve">3.3.1 </w:t>
          </w:r>
          <w:r>
            <w:rPr>
              <w:rFonts w:hint="eastAsia"/>
              <w:lang w:val="en-US" w:eastAsia="zh-CN"/>
            </w:rPr>
            <w:t>云阳县</w:t>
          </w:r>
          <w:r>
            <w:rPr>
              <w:rFonts w:hint="eastAsia"/>
            </w:rPr>
            <w:t>社会经济概况</w:t>
          </w:r>
          <w:r>
            <w:tab/>
          </w:r>
          <w:r>
            <w:fldChar w:fldCharType="begin"/>
          </w:r>
          <w:r>
            <w:instrText xml:space="preserve"> PAGEREF _Toc9829 \h </w:instrText>
          </w:r>
          <w:r>
            <w:fldChar w:fldCharType="separate"/>
          </w:r>
          <w:r>
            <w:t>9</w:t>
          </w:r>
          <w:r>
            <w:fldChar w:fldCharType="end"/>
          </w:r>
          <w:r>
            <w:rPr>
              <w:bCs/>
              <w:lang w:val="zh-CN"/>
            </w:rPr>
            <w:fldChar w:fldCharType="end"/>
          </w:r>
        </w:p>
        <w:p w14:paraId="2BE08F97">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_Toc16853 </w:instrText>
          </w:r>
          <w:r>
            <w:rPr>
              <w:bCs/>
              <w:lang w:val="zh-CN"/>
            </w:rPr>
            <w:fldChar w:fldCharType="separate"/>
          </w:r>
          <w:r>
            <w:rPr>
              <w:rFonts w:hint="eastAsia"/>
            </w:rPr>
            <w:t xml:space="preserve">3.3.2 </w:t>
          </w:r>
          <w:r>
            <w:rPr>
              <w:rFonts w:hint="eastAsia"/>
              <w:lang w:val="en-US" w:eastAsia="zh-CN"/>
            </w:rPr>
            <w:t>黄石镇</w:t>
          </w:r>
          <w:r>
            <w:rPr>
              <w:rFonts w:hint="eastAsia"/>
            </w:rPr>
            <w:t>社会经济概况</w:t>
          </w:r>
          <w:r>
            <w:tab/>
          </w:r>
          <w:r>
            <w:fldChar w:fldCharType="begin"/>
          </w:r>
          <w:r>
            <w:instrText xml:space="preserve"> PAGEREF _Toc16853 \h </w:instrText>
          </w:r>
          <w:r>
            <w:fldChar w:fldCharType="separate"/>
          </w:r>
          <w:r>
            <w:t>10</w:t>
          </w:r>
          <w:r>
            <w:fldChar w:fldCharType="end"/>
          </w:r>
          <w:r>
            <w:rPr>
              <w:bCs/>
              <w:lang w:val="zh-CN"/>
            </w:rPr>
            <w:fldChar w:fldCharType="end"/>
          </w:r>
        </w:p>
        <w:p w14:paraId="68ACE3ED">
          <w:pPr>
            <w:pStyle w:val="23"/>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_Toc8256 </w:instrText>
          </w:r>
          <w:r>
            <w:rPr>
              <w:bCs/>
              <w:lang w:val="zh-CN"/>
            </w:rPr>
            <w:fldChar w:fldCharType="separate"/>
          </w:r>
          <w:r>
            <w:rPr>
              <w:rFonts w:hint="eastAsia"/>
            </w:rPr>
            <w:t xml:space="preserve">4 </w:t>
          </w:r>
          <w:r>
            <w:t>水源地环境现状调查与评估</w:t>
          </w:r>
          <w:r>
            <w:tab/>
          </w:r>
          <w:r>
            <w:fldChar w:fldCharType="begin"/>
          </w:r>
          <w:r>
            <w:instrText xml:space="preserve"> PAGEREF _Toc8256 \h </w:instrText>
          </w:r>
          <w:r>
            <w:fldChar w:fldCharType="separate"/>
          </w:r>
          <w:r>
            <w:t>11</w:t>
          </w:r>
          <w:r>
            <w:fldChar w:fldCharType="end"/>
          </w:r>
          <w:r>
            <w:rPr>
              <w:bCs/>
              <w:lang w:val="zh-CN"/>
            </w:rPr>
            <w:fldChar w:fldCharType="end"/>
          </w:r>
        </w:p>
        <w:p w14:paraId="7C6D87D6">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_Toc17917 </w:instrText>
          </w:r>
          <w:r>
            <w:rPr>
              <w:bCs/>
              <w:lang w:val="zh-CN"/>
            </w:rPr>
            <w:fldChar w:fldCharType="separate"/>
          </w:r>
          <w:r>
            <w:rPr>
              <w:rFonts w:hint="eastAsia"/>
            </w:rPr>
            <w:t xml:space="preserve">4.1 </w:t>
          </w:r>
          <w:r>
            <w:t>水源地情况调查</w:t>
          </w:r>
          <w:r>
            <w:tab/>
          </w:r>
          <w:r>
            <w:fldChar w:fldCharType="begin"/>
          </w:r>
          <w:r>
            <w:instrText xml:space="preserve"> PAGEREF _Toc17917 \h </w:instrText>
          </w:r>
          <w:r>
            <w:fldChar w:fldCharType="separate"/>
          </w:r>
          <w:r>
            <w:t>11</w:t>
          </w:r>
          <w:r>
            <w:fldChar w:fldCharType="end"/>
          </w:r>
          <w:r>
            <w:rPr>
              <w:bCs/>
              <w:lang w:val="zh-CN"/>
            </w:rPr>
            <w:fldChar w:fldCharType="end"/>
          </w:r>
        </w:p>
        <w:p w14:paraId="0DA0027A">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_Toc22584 </w:instrText>
          </w:r>
          <w:r>
            <w:rPr>
              <w:bCs/>
              <w:lang w:val="zh-CN"/>
            </w:rPr>
            <w:fldChar w:fldCharType="separate"/>
          </w:r>
          <w:r>
            <w:rPr>
              <w:rFonts w:hint="eastAsia"/>
            </w:rPr>
            <w:t xml:space="preserve">4.2 </w:t>
          </w:r>
          <w:r>
            <w:t>水环境质量</w:t>
          </w:r>
          <w:r>
            <w:rPr>
              <w:rFonts w:hint="eastAsia"/>
            </w:rPr>
            <w:t>现状</w:t>
          </w:r>
          <w:r>
            <w:tab/>
          </w:r>
          <w:r>
            <w:fldChar w:fldCharType="begin"/>
          </w:r>
          <w:r>
            <w:instrText xml:space="preserve"> PAGEREF _Toc22584 \h </w:instrText>
          </w:r>
          <w:r>
            <w:fldChar w:fldCharType="separate"/>
          </w:r>
          <w:r>
            <w:t>12</w:t>
          </w:r>
          <w:r>
            <w:fldChar w:fldCharType="end"/>
          </w:r>
          <w:r>
            <w:rPr>
              <w:bCs/>
              <w:lang w:val="zh-CN"/>
            </w:rPr>
            <w:fldChar w:fldCharType="end"/>
          </w:r>
        </w:p>
        <w:p w14:paraId="08E23352">
          <w:pPr>
            <w:pStyle w:val="23"/>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_Toc990 </w:instrText>
          </w:r>
          <w:r>
            <w:rPr>
              <w:bCs/>
              <w:lang w:val="zh-CN"/>
            </w:rPr>
            <w:fldChar w:fldCharType="separate"/>
          </w:r>
          <w:r>
            <w:rPr>
              <w:rFonts w:hint="eastAsia"/>
            </w:rPr>
            <w:t xml:space="preserve">5 </w:t>
          </w:r>
          <w:r>
            <w:rPr>
              <w:rFonts w:hint="eastAsia"/>
              <w:lang w:eastAsia="zh-CN"/>
            </w:rPr>
            <w:t>黄石镇铁炉沟集中式饮用水水源地</w:t>
          </w:r>
          <w:r>
            <w:t>污染现状调查</w:t>
          </w:r>
          <w:r>
            <w:tab/>
          </w:r>
          <w:r>
            <w:fldChar w:fldCharType="begin"/>
          </w:r>
          <w:r>
            <w:instrText xml:space="preserve"> PAGEREF _Toc990 \h </w:instrText>
          </w:r>
          <w:r>
            <w:fldChar w:fldCharType="separate"/>
          </w:r>
          <w:r>
            <w:t>12</w:t>
          </w:r>
          <w:r>
            <w:fldChar w:fldCharType="end"/>
          </w:r>
          <w:r>
            <w:rPr>
              <w:bCs/>
              <w:lang w:val="zh-CN"/>
            </w:rPr>
            <w:fldChar w:fldCharType="end"/>
          </w:r>
        </w:p>
        <w:p w14:paraId="6D0B3AB6">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_Toc21468 </w:instrText>
          </w:r>
          <w:r>
            <w:rPr>
              <w:bCs/>
              <w:lang w:val="zh-CN"/>
            </w:rPr>
            <w:fldChar w:fldCharType="separate"/>
          </w:r>
          <w:r>
            <w:rPr>
              <w:rFonts w:hint="eastAsia"/>
            </w:rPr>
            <w:t xml:space="preserve">5.1 </w:t>
          </w:r>
          <w:r>
            <w:t>外源性污染调查与污染物负荷估算</w:t>
          </w:r>
          <w:r>
            <w:tab/>
          </w:r>
          <w:r>
            <w:fldChar w:fldCharType="begin"/>
          </w:r>
          <w:r>
            <w:instrText xml:space="preserve"> PAGEREF _Toc21468 \h </w:instrText>
          </w:r>
          <w:r>
            <w:fldChar w:fldCharType="separate"/>
          </w:r>
          <w:r>
            <w:t>12</w:t>
          </w:r>
          <w:r>
            <w:fldChar w:fldCharType="end"/>
          </w:r>
          <w:r>
            <w:rPr>
              <w:bCs/>
              <w:lang w:val="zh-CN"/>
            </w:rPr>
            <w:fldChar w:fldCharType="end"/>
          </w:r>
        </w:p>
        <w:p w14:paraId="27C5AE9D">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_Toc15684 </w:instrText>
          </w:r>
          <w:r>
            <w:rPr>
              <w:bCs/>
              <w:lang w:val="zh-CN"/>
            </w:rPr>
            <w:fldChar w:fldCharType="separate"/>
          </w:r>
          <w:r>
            <w:rPr>
              <w:rFonts w:hint="eastAsia"/>
            </w:rPr>
            <w:t xml:space="preserve">5.1.1 </w:t>
          </w:r>
          <w:r>
            <w:t>工业源调查</w:t>
          </w:r>
          <w:r>
            <w:tab/>
          </w:r>
          <w:r>
            <w:fldChar w:fldCharType="begin"/>
          </w:r>
          <w:r>
            <w:instrText xml:space="preserve"> PAGEREF _Toc15684 \h </w:instrText>
          </w:r>
          <w:r>
            <w:fldChar w:fldCharType="separate"/>
          </w:r>
          <w:r>
            <w:t>12</w:t>
          </w:r>
          <w:r>
            <w:fldChar w:fldCharType="end"/>
          </w:r>
          <w:r>
            <w:rPr>
              <w:bCs/>
              <w:lang w:val="zh-CN"/>
            </w:rPr>
            <w:fldChar w:fldCharType="end"/>
          </w:r>
        </w:p>
        <w:p w14:paraId="6479D7AD">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_Toc15953 </w:instrText>
          </w:r>
          <w:r>
            <w:rPr>
              <w:bCs/>
              <w:lang w:val="zh-CN"/>
            </w:rPr>
            <w:fldChar w:fldCharType="separate"/>
          </w:r>
          <w:r>
            <w:rPr>
              <w:rFonts w:hint="eastAsia"/>
            </w:rPr>
            <w:t xml:space="preserve">5.1.2 </w:t>
          </w:r>
          <w:r>
            <w:t>生活源调查</w:t>
          </w:r>
          <w:r>
            <w:tab/>
          </w:r>
          <w:r>
            <w:fldChar w:fldCharType="begin"/>
          </w:r>
          <w:r>
            <w:instrText xml:space="preserve"> PAGEREF _Toc15953 \h </w:instrText>
          </w:r>
          <w:r>
            <w:fldChar w:fldCharType="separate"/>
          </w:r>
          <w:r>
            <w:t>13</w:t>
          </w:r>
          <w:r>
            <w:fldChar w:fldCharType="end"/>
          </w:r>
          <w:r>
            <w:rPr>
              <w:bCs/>
              <w:lang w:val="zh-CN"/>
            </w:rPr>
            <w:fldChar w:fldCharType="end"/>
          </w:r>
        </w:p>
        <w:p w14:paraId="3C2F8724">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_Toc26381 </w:instrText>
          </w:r>
          <w:r>
            <w:rPr>
              <w:bCs/>
              <w:lang w:val="zh-CN"/>
            </w:rPr>
            <w:fldChar w:fldCharType="separate"/>
          </w:r>
          <w:r>
            <w:rPr>
              <w:rFonts w:hint="eastAsia"/>
            </w:rPr>
            <w:t xml:space="preserve">5.1.3 </w:t>
          </w:r>
          <w:r>
            <w:t>农业面源调查</w:t>
          </w:r>
          <w:r>
            <w:tab/>
          </w:r>
          <w:r>
            <w:fldChar w:fldCharType="begin"/>
          </w:r>
          <w:r>
            <w:instrText xml:space="preserve"> PAGEREF _Toc26381 \h </w:instrText>
          </w:r>
          <w:r>
            <w:fldChar w:fldCharType="separate"/>
          </w:r>
          <w:r>
            <w:t>14</w:t>
          </w:r>
          <w:r>
            <w:fldChar w:fldCharType="end"/>
          </w:r>
          <w:r>
            <w:rPr>
              <w:bCs/>
              <w:lang w:val="zh-CN"/>
            </w:rPr>
            <w:fldChar w:fldCharType="end"/>
          </w:r>
        </w:p>
        <w:p w14:paraId="1D1EE6D7">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_Toc32295 </w:instrText>
          </w:r>
          <w:r>
            <w:rPr>
              <w:bCs/>
              <w:lang w:val="zh-CN"/>
            </w:rPr>
            <w:fldChar w:fldCharType="separate"/>
          </w:r>
          <w:r>
            <w:rPr>
              <w:rFonts w:hint="eastAsia"/>
            </w:rPr>
            <w:t xml:space="preserve">5.1.4 </w:t>
          </w:r>
          <w:r>
            <w:t>畜禽及水产养殖调查与负荷估算</w:t>
          </w:r>
          <w:r>
            <w:tab/>
          </w:r>
          <w:r>
            <w:fldChar w:fldCharType="begin"/>
          </w:r>
          <w:r>
            <w:instrText xml:space="preserve"> PAGEREF _Toc32295 \h </w:instrText>
          </w:r>
          <w:r>
            <w:fldChar w:fldCharType="separate"/>
          </w:r>
          <w:r>
            <w:t>16</w:t>
          </w:r>
          <w:r>
            <w:fldChar w:fldCharType="end"/>
          </w:r>
          <w:r>
            <w:rPr>
              <w:bCs/>
              <w:lang w:val="zh-CN"/>
            </w:rPr>
            <w:fldChar w:fldCharType="end"/>
          </w:r>
        </w:p>
        <w:p w14:paraId="4381F019">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_Toc1564 </w:instrText>
          </w:r>
          <w:r>
            <w:rPr>
              <w:bCs/>
              <w:lang w:val="zh-CN"/>
            </w:rPr>
            <w:fldChar w:fldCharType="separate"/>
          </w:r>
          <w:r>
            <w:rPr>
              <w:rFonts w:hint="eastAsia"/>
            </w:rPr>
            <w:t xml:space="preserve">5.2 </w:t>
          </w:r>
          <w:r>
            <w:t>水环境问题及成因分析</w:t>
          </w:r>
          <w:r>
            <w:tab/>
          </w:r>
          <w:r>
            <w:fldChar w:fldCharType="begin"/>
          </w:r>
          <w:r>
            <w:instrText xml:space="preserve"> PAGEREF _Toc1564 \h </w:instrText>
          </w:r>
          <w:r>
            <w:fldChar w:fldCharType="separate"/>
          </w:r>
          <w:r>
            <w:t>17</w:t>
          </w:r>
          <w:r>
            <w:fldChar w:fldCharType="end"/>
          </w:r>
          <w:r>
            <w:rPr>
              <w:bCs/>
              <w:lang w:val="zh-CN"/>
            </w:rPr>
            <w:fldChar w:fldCharType="end"/>
          </w:r>
        </w:p>
        <w:p w14:paraId="10DDAFDA">
          <w:pPr>
            <w:pStyle w:val="23"/>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_Toc17120 </w:instrText>
          </w:r>
          <w:r>
            <w:rPr>
              <w:bCs/>
              <w:lang w:val="zh-CN"/>
            </w:rPr>
            <w:fldChar w:fldCharType="separate"/>
          </w:r>
          <w:r>
            <w:rPr>
              <w:rFonts w:hint="eastAsia"/>
            </w:rPr>
            <w:t>6 水源地水质达标整治方案</w:t>
          </w:r>
          <w:r>
            <w:tab/>
          </w:r>
          <w:r>
            <w:fldChar w:fldCharType="begin"/>
          </w:r>
          <w:r>
            <w:instrText xml:space="preserve"> PAGEREF _Toc17120 \h </w:instrText>
          </w:r>
          <w:r>
            <w:fldChar w:fldCharType="separate"/>
          </w:r>
          <w:r>
            <w:t>18</w:t>
          </w:r>
          <w:r>
            <w:fldChar w:fldCharType="end"/>
          </w:r>
          <w:r>
            <w:rPr>
              <w:bCs/>
              <w:lang w:val="zh-CN"/>
            </w:rPr>
            <w:fldChar w:fldCharType="end"/>
          </w:r>
        </w:p>
        <w:p w14:paraId="65ED0C32">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_Toc6492 </w:instrText>
          </w:r>
          <w:r>
            <w:rPr>
              <w:bCs/>
              <w:lang w:val="zh-CN"/>
            </w:rPr>
            <w:fldChar w:fldCharType="separate"/>
          </w:r>
          <w:r>
            <w:rPr>
              <w:rFonts w:hint="eastAsia"/>
            </w:rPr>
            <w:t xml:space="preserve">6.1 </w:t>
          </w:r>
          <w:r>
            <w:t>分散农户污染治理</w:t>
          </w:r>
          <w:r>
            <w:tab/>
          </w:r>
          <w:r>
            <w:fldChar w:fldCharType="begin"/>
          </w:r>
          <w:r>
            <w:instrText xml:space="preserve"> PAGEREF _Toc6492 \h </w:instrText>
          </w:r>
          <w:r>
            <w:fldChar w:fldCharType="separate"/>
          </w:r>
          <w:r>
            <w:t>19</w:t>
          </w:r>
          <w:r>
            <w:fldChar w:fldCharType="end"/>
          </w:r>
          <w:r>
            <w:rPr>
              <w:bCs/>
              <w:lang w:val="zh-CN"/>
            </w:rPr>
            <w:fldChar w:fldCharType="end"/>
          </w:r>
        </w:p>
        <w:p w14:paraId="6E3E8D0B">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_Toc3970 </w:instrText>
          </w:r>
          <w:r>
            <w:rPr>
              <w:bCs/>
              <w:lang w:val="zh-CN"/>
            </w:rPr>
            <w:fldChar w:fldCharType="separate"/>
          </w:r>
          <w:r>
            <w:rPr>
              <w:rFonts w:hint="eastAsia"/>
            </w:rPr>
            <w:t xml:space="preserve">6.1.1 </w:t>
          </w:r>
          <w:r>
            <w:t>生活污水及农户地表径流</w:t>
          </w:r>
          <w:r>
            <w:tab/>
          </w:r>
          <w:r>
            <w:fldChar w:fldCharType="begin"/>
          </w:r>
          <w:r>
            <w:instrText xml:space="preserve"> PAGEREF _Toc3970 \h </w:instrText>
          </w:r>
          <w:r>
            <w:fldChar w:fldCharType="separate"/>
          </w:r>
          <w:r>
            <w:t>19</w:t>
          </w:r>
          <w:r>
            <w:fldChar w:fldCharType="end"/>
          </w:r>
          <w:r>
            <w:rPr>
              <w:bCs/>
              <w:lang w:val="zh-CN"/>
            </w:rPr>
            <w:fldChar w:fldCharType="end"/>
          </w:r>
        </w:p>
        <w:p w14:paraId="77BC3087">
          <w:pPr>
            <w:pStyle w:val="18"/>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_Toc8305 </w:instrText>
          </w:r>
          <w:r>
            <w:rPr>
              <w:bCs/>
              <w:lang w:val="zh-CN"/>
            </w:rPr>
            <w:fldChar w:fldCharType="separate"/>
          </w:r>
          <w:r>
            <w:rPr>
              <w:rFonts w:hint="eastAsia"/>
            </w:rPr>
            <w:t xml:space="preserve">6.1.2 </w:t>
          </w:r>
          <w:r>
            <w:t>农户生活垃圾</w:t>
          </w:r>
          <w:r>
            <w:tab/>
          </w:r>
          <w:r>
            <w:fldChar w:fldCharType="begin"/>
          </w:r>
          <w:r>
            <w:instrText xml:space="preserve"> PAGEREF _Toc8305 \h </w:instrText>
          </w:r>
          <w:r>
            <w:fldChar w:fldCharType="separate"/>
          </w:r>
          <w:r>
            <w:t>19</w:t>
          </w:r>
          <w:r>
            <w:fldChar w:fldCharType="end"/>
          </w:r>
          <w:r>
            <w:rPr>
              <w:bCs/>
              <w:lang w:val="zh-CN"/>
            </w:rPr>
            <w:fldChar w:fldCharType="end"/>
          </w:r>
        </w:p>
        <w:p w14:paraId="0F0C2FE7">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_Toc13039 </w:instrText>
          </w:r>
          <w:r>
            <w:rPr>
              <w:bCs/>
              <w:lang w:val="zh-CN"/>
            </w:rPr>
            <w:fldChar w:fldCharType="separate"/>
          </w:r>
          <w:r>
            <w:rPr>
              <w:rFonts w:hint="eastAsia"/>
            </w:rPr>
            <w:t xml:space="preserve">6.2 </w:t>
          </w:r>
          <w:r>
            <w:t>农业面源污染治理</w:t>
          </w:r>
          <w:r>
            <w:tab/>
          </w:r>
          <w:r>
            <w:fldChar w:fldCharType="begin"/>
          </w:r>
          <w:r>
            <w:instrText xml:space="preserve"> PAGEREF _Toc13039 \h </w:instrText>
          </w:r>
          <w:r>
            <w:fldChar w:fldCharType="separate"/>
          </w:r>
          <w:r>
            <w:t>19</w:t>
          </w:r>
          <w:r>
            <w:fldChar w:fldCharType="end"/>
          </w:r>
          <w:r>
            <w:rPr>
              <w:bCs/>
              <w:lang w:val="zh-CN"/>
            </w:rPr>
            <w:fldChar w:fldCharType="end"/>
          </w:r>
        </w:p>
        <w:p w14:paraId="158EC69A">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_Toc3392 </w:instrText>
          </w:r>
          <w:r>
            <w:rPr>
              <w:bCs/>
              <w:lang w:val="zh-CN"/>
            </w:rPr>
            <w:fldChar w:fldCharType="separate"/>
          </w:r>
          <w:r>
            <w:rPr>
              <w:rFonts w:hint="eastAsia"/>
            </w:rPr>
            <w:t xml:space="preserve">6.3 </w:t>
          </w:r>
          <w:r>
            <w:t>强化水源地运维管理</w:t>
          </w:r>
          <w:r>
            <w:tab/>
          </w:r>
          <w:r>
            <w:fldChar w:fldCharType="begin"/>
          </w:r>
          <w:r>
            <w:instrText xml:space="preserve"> PAGEREF _Toc3392 \h </w:instrText>
          </w:r>
          <w:r>
            <w:fldChar w:fldCharType="separate"/>
          </w:r>
          <w:r>
            <w:t>20</w:t>
          </w:r>
          <w:r>
            <w:fldChar w:fldCharType="end"/>
          </w:r>
          <w:r>
            <w:rPr>
              <w:bCs/>
              <w:lang w:val="zh-CN"/>
            </w:rPr>
            <w:fldChar w:fldCharType="end"/>
          </w:r>
        </w:p>
        <w:p w14:paraId="02CA2733">
          <w:pPr>
            <w:pStyle w:val="23"/>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_Toc25567 </w:instrText>
          </w:r>
          <w:r>
            <w:rPr>
              <w:bCs/>
              <w:lang w:val="zh-CN"/>
            </w:rPr>
            <w:fldChar w:fldCharType="separate"/>
          </w:r>
          <w:r>
            <w:rPr>
              <w:rFonts w:hint="eastAsia"/>
            </w:rPr>
            <w:t>7 效益分析</w:t>
          </w:r>
          <w:r>
            <w:tab/>
          </w:r>
          <w:r>
            <w:fldChar w:fldCharType="begin"/>
          </w:r>
          <w:r>
            <w:instrText xml:space="preserve"> PAGEREF _Toc25567 \h </w:instrText>
          </w:r>
          <w:r>
            <w:fldChar w:fldCharType="separate"/>
          </w:r>
          <w:r>
            <w:t>21</w:t>
          </w:r>
          <w:r>
            <w:fldChar w:fldCharType="end"/>
          </w:r>
          <w:r>
            <w:rPr>
              <w:bCs/>
              <w:lang w:val="zh-CN"/>
            </w:rPr>
            <w:fldChar w:fldCharType="end"/>
          </w:r>
        </w:p>
        <w:p w14:paraId="0B7F3AAA">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_Toc7806 </w:instrText>
          </w:r>
          <w:r>
            <w:rPr>
              <w:bCs/>
              <w:lang w:val="zh-CN"/>
            </w:rPr>
            <w:fldChar w:fldCharType="separate"/>
          </w:r>
          <w:r>
            <w:rPr>
              <w:rFonts w:hint="eastAsia" w:ascii="Times New Roman" w:hAnsi="Times New Roman" w:eastAsia="宋体" w:cs="Times New Roman"/>
            </w:rPr>
            <w:t xml:space="preserve">7.1 </w:t>
          </w:r>
          <w:r>
            <w:rPr>
              <w:rFonts w:ascii="Times New Roman" w:hAnsi="Times New Roman" w:eastAsia="宋体" w:cs="Times New Roman"/>
            </w:rPr>
            <w:t>环境效益</w:t>
          </w:r>
          <w:r>
            <w:tab/>
          </w:r>
          <w:r>
            <w:fldChar w:fldCharType="begin"/>
          </w:r>
          <w:r>
            <w:instrText xml:space="preserve"> PAGEREF _Toc7806 \h </w:instrText>
          </w:r>
          <w:r>
            <w:fldChar w:fldCharType="separate"/>
          </w:r>
          <w:r>
            <w:t>21</w:t>
          </w:r>
          <w:r>
            <w:fldChar w:fldCharType="end"/>
          </w:r>
          <w:r>
            <w:rPr>
              <w:bCs/>
              <w:lang w:val="zh-CN"/>
            </w:rPr>
            <w:fldChar w:fldCharType="end"/>
          </w:r>
        </w:p>
        <w:p w14:paraId="06558A87">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_Toc9635 </w:instrText>
          </w:r>
          <w:r>
            <w:rPr>
              <w:bCs/>
              <w:lang w:val="zh-CN"/>
            </w:rPr>
            <w:fldChar w:fldCharType="separate"/>
          </w:r>
          <w:r>
            <w:rPr>
              <w:rFonts w:hint="eastAsia" w:ascii="Times New Roman" w:hAnsi="Times New Roman" w:eastAsia="宋体" w:cs="Times New Roman"/>
            </w:rPr>
            <w:t xml:space="preserve">7.2 </w:t>
          </w:r>
          <w:r>
            <w:rPr>
              <w:rFonts w:ascii="Times New Roman" w:hAnsi="Times New Roman" w:eastAsia="宋体" w:cs="Times New Roman"/>
            </w:rPr>
            <w:t>社会效益</w:t>
          </w:r>
          <w:r>
            <w:tab/>
          </w:r>
          <w:r>
            <w:fldChar w:fldCharType="begin"/>
          </w:r>
          <w:r>
            <w:instrText xml:space="preserve"> PAGEREF _Toc9635 \h </w:instrText>
          </w:r>
          <w:r>
            <w:fldChar w:fldCharType="separate"/>
          </w:r>
          <w:r>
            <w:t>21</w:t>
          </w:r>
          <w:r>
            <w:fldChar w:fldCharType="end"/>
          </w:r>
          <w:r>
            <w:rPr>
              <w:bCs/>
              <w:lang w:val="zh-CN"/>
            </w:rPr>
            <w:fldChar w:fldCharType="end"/>
          </w:r>
        </w:p>
        <w:p w14:paraId="66B8CC9F">
          <w:pPr>
            <w:pStyle w:val="24"/>
            <w:pageBreakBefore w:val="0"/>
            <w:widowControl w:val="0"/>
            <w:tabs>
              <w:tab w:val="right" w:leader="dot" w:pos="9070"/>
            </w:tabs>
            <w:kinsoku/>
            <w:bidi w:val="0"/>
            <w:spacing w:beforeAutospacing="0" w:afterAutospacing="0"/>
            <w:ind w:left="0"/>
          </w:pPr>
          <w:r>
            <w:rPr>
              <w:bCs/>
              <w:lang w:val="zh-CN"/>
            </w:rPr>
            <w:fldChar w:fldCharType="begin"/>
          </w:r>
          <w:r>
            <w:rPr>
              <w:bCs/>
              <w:lang w:val="zh-CN"/>
            </w:rPr>
            <w:instrText xml:space="preserve"> HYPERLINK \l _Toc1061 </w:instrText>
          </w:r>
          <w:r>
            <w:rPr>
              <w:bCs/>
              <w:lang w:val="zh-CN"/>
            </w:rPr>
            <w:fldChar w:fldCharType="separate"/>
          </w:r>
          <w:r>
            <w:rPr>
              <w:rFonts w:hint="eastAsia" w:ascii="Times New Roman" w:hAnsi="Times New Roman" w:eastAsia="宋体" w:cs="Times New Roman"/>
            </w:rPr>
            <w:t xml:space="preserve">7.3 </w:t>
          </w:r>
          <w:r>
            <w:rPr>
              <w:rFonts w:ascii="Times New Roman" w:hAnsi="Times New Roman" w:eastAsia="宋体" w:cs="Times New Roman"/>
            </w:rPr>
            <w:t>经济效益</w:t>
          </w:r>
          <w:r>
            <w:tab/>
          </w:r>
          <w:r>
            <w:fldChar w:fldCharType="begin"/>
          </w:r>
          <w:r>
            <w:instrText xml:space="preserve"> PAGEREF _Toc1061 \h </w:instrText>
          </w:r>
          <w:r>
            <w:fldChar w:fldCharType="separate"/>
          </w:r>
          <w:r>
            <w:t>21</w:t>
          </w:r>
          <w:r>
            <w:fldChar w:fldCharType="end"/>
          </w:r>
          <w:r>
            <w:rPr>
              <w:bCs/>
              <w:lang w:val="zh-CN"/>
            </w:rPr>
            <w:fldChar w:fldCharType="end"/>
          </w:r>
        </w:p>
        <w:p w14:paraId="0ED52F2E">
          <w:pPr>
            <w:pageBreakBefore w:val="0"/>
            <w:widowControl w:val="0"/>
            <w:kinsoku/>
            <w:bidi w:val="0"/>
            <w:spacing w:beforeAutospacing="0" w:afterAutospacing="0"/>
            <w:ind w:left="0" w:firstLine="480"/>
          </w:pPr>
          <w:r>
            <w:rPr>
              <w:bCs/>
              <w:lang w:val="zh-CN"/>
            </w:rPr>
            <w:fldChar w:fldCharType="end"/>
          </w:r>
          <w:bookmarkStart w:id="0" w:name="_Toc38391106"/>
          <w:bookmarkStart w:id="1" w:name="_Toc43925441"/>
        </w:p>
      </w:sdtContent>
    </w:sdt>
    <w:p w14:paraId="202AB1CF">
      <w:pPr>
        <w:pStyle w:val="9"/>
        <w:pageBreakBefore w:val="0"/>
        <w:widowControl w:val="0"/>
        <w:numPr>
          <w:ilvl w:val="0"/>
          <w:numId w:val="0"/>
        </w:numPr>
        <w:kinsoku/>
        <w:bidi w:val="0"/>
        <w:spacing w:before="0" w:beforeAutospacing="0" w:after="0" w:afterAutospacing="0"/>
        <w:ind w:left="0" w:leftChars="0"/>
        <w:sectPr>
          <w:headerReference r:id="rId11" w:type="default"/>
          <w:footerReference r:id="rId12" w:type="default"/>
          <w:pgSz w:w="11906" w:h="16838"/>
          <w:pgMar w:top="1440" w:right="1418" w:bottom="1440" w:left="1418" w:header="851" w:footer="992" w:gutter="0"/>
          <w:pgNumType w:start="1"/>
          <w:cols w:space="425" w:num="1"/>
          <w:docGrid w:type="lines" w:linePitch="312" w:charSpace="0"/>
        </w:sectPr>
      </w:pPr>
    </w:p>
    <w:p w14:paraId="53B1139F">
      <w:pPr>
        <w:pStyle w:val="9"/>
        <w:pageBreakBefore w:val="0"/>
        <w:widowControl w:val="0"/>
        <w:kinsoku/>
        <w:bidi w:val="0"/>
        <w:spacing w:before="0" w:beforeAutospacing="0" w:after="0" w:afterAutospacing="0"/>
        <w:ind w:left="0"/>
      </w:pPr>
      <w:bookmarkStart w:id="2" w:name="_Toc23217"/>
      <w:r>
        <w:t>前言</w:t>
      </w:r>
      <w:bookmarkEnd w:id="0"/>
      <w:bookmarkEnd w:id="1"/>
      <w:bookmarkEnd w:id="2"/>
    </w:p>
    <w:p w14:paraId="1E1A11B1">
      <w:pPr>
        <w:pageBreakBefore w:val="0"/>
        <w:widowControl w:val="0"/>
        <w:kinsoku/>
        <w:bidi w:val="0"/>
        <w:spacing w:beforeAutospacing="0" w:afterAutospacing="0"/>
        <w:ind w:left="0" w:firstLine="480"/>
        <w:rPr>
          <w:rFonts w:ascii="Times New Roman"/>
        </w:rPr>
      </w:pPr>
      <w:r>
        <w:rPr>
          <w:rFonts w:ascii="Times New Roman"/>
        </w:rPr>
        <w:t>饮用水源保护是一项“民心工程”，随着经济社会的快速发展，工业化、城镇化水平的迅速提高，我国水环境面临严峻压力，饮用水水源安全问题日益突出，社会关注度不断增加。饮用水安全不仅关系到经济社会的可持续发展，也是落实以人为本的科学发展观、构建生态文明及和谐社会的基础。</w:t>
      </w:r>
    </w:p>
    <w:p w14:paraId="6364A377">
      <w:pPr>
        <w:pageBreakBefore w:val="0"/>
        <w:widowControl w:val="0"/>
        <w:kinsoku/>
        <w:bidi w:val="0"/>
        <w:spacing w:beforeAutospacing="0" w:afterAutospacing="0"/>
        <w:ind w:left="0" w:firstLine="480"/>
        <w:rPr>
          <w:rFonts w:ascii="Times New Roman"/>
        </w:rPr>
      </w:pPr>
      <w:r>
        <w:rPr>
          <w:rFonts w:hint="eastAsia"/>
          <w:sz w:val="24"/>
          <w:lang w:eastAsia="zh-CN"/>
        </w:rPr>
        <w:t>黄石</w:t>
      </w:r>
      <w:r>
        <w:rPr>
          <w:rFonts w:hint="eastAsia"/>
          <w:sz w:val="24"/>
        </w:rPr>
        <w:t>镇</w:t>
      </w:r>
      <w:r>
        <w:rPr>
          <w:rFonts w:hint="eastAsia"/>
          <w:sz w:val="24"/>
          <w:lang w:eastAsia="zh-CN"/>
        </w:rPr>
        <w:t>铁炉沟集中式饮用水水源地</w:t>
      </w:r>
      <w:r>
        <w:rPr>
          <w:rFonts w:hint="eastAsia" w:ascii="Times New Roman"/>
        </w:rPr>
        <w:t>位于</w:t>
      </w:r>
      <w:r>
        <w:rPr>
          <w:rFonts w:hint="eastAsia" w:ascii="Times New Roman"/>
          <w:lang w:val="en-US" w:eastAsia="zh-CN"/>
        </w:rPr>
        <w:t>云阳县黄石镇铁炉村</w:t>
      </w:r>
      <w:r>
        <w:rPr>
          <w:rFonts w:hint="eastAsia" w:ascii="Times New Roman"/>
        </w:rPr>
        <w:t>境内，是一座具有</w:t>
      </w:r>
      <w:r>
        <w:rPr>
          <w:rFonts w:hint="eastAsia" w:ascii="Times New Roman"/>
          <w:lang w:val="en-US" w:eastAsia="zh-CN"/>
        </w:rPr>
        <w:t>集镇、农村</w:t>
      </w:r>
      <w:r>
        <w:rPr>
          <w:rFonts w:hint="eastAsia" w:ascii="Times New Roman"/>
          <w:lang w:eastAsia="zh-CN"/>
        </w:rPr>
        <w:t>人畜饮水</w:t>
      </w:r>
      <w:r>
        <w:rPr>
          <w:rFonts w:hint="eastAsia" w:ascii="Times New Roman"/>
          <w:lang w:val="en-US" w:eastAsia="zh-CN"/>
        </w:rPr>
        <w:t>功能的</w:t>
      </w:r>
      <w:r>
        <w:rPr>
          <w:rFonts w:hint="eastAsia" w:ascii="Times New Roman"/>
        </w:rPr>
        <w:t>水利工程。</w:t>
      </w:r>
    </w:p>
    <w:p w14:paraId="6367A9D1">
      <w:pPr>
        <w:pageBreakBefore w:val="0"/>
        <w:widowControl w:val="0"/>
        <w:kinsoku/>
        <w:bidi w:val="0"/>
        <w:spacing w:beforeAutospacing="0" w:afterAutospacing="0"/>
        <w:ind w:left="0" w:firstLine="480"/>
        <w:rPr>
          <w:rFonts w:ascii="Times New Roman"/>
        </w:rPr>
      </w:pPr>
      <w:r>
        <w:rPr>
          <w:rFonts w:hint="eastAsia" w:ascii="Times New Roman"/>
          <w:lang w:eastAsia="zh-CN"/>
        </w:rPr>
        <w:t>黄石</w:t>
      </w:r>
      <w:r>
        <w:rPr>
          <w:rFonts w:hint="eastAsia" w:ascii="Times New Roman"/>
        </w:rPr>
        <w:t>镇</w:t>
      </w:r>
      <w:r>
        <w:rPr>
          <w:rFonts w:hint="eastAsia" w:ascii="Times New Roman"/>
          <w:lang w:eastAsia="zh-CN"/>
        </w:rPr>
        <w:t>铁炉沟集中式饮用水水源地</w:t>
      </w:r>
      <w:r>
        <w:rPr>
          <w:rFonts w:hint="eastAsia" w:ascii="Times New Roman"/>
        </w:rPr>
        <w:t>水质稳定性变差</w:t>
      </w:r>
      <w:r>
        <w:rPr>
          <w:rFonts w:ascii="Times New Roman"/>
        </w:rPr>
        <w:t>，造成</w:t>
      </w:r>
      <w:r>
        <w:rPr>
          <w:rFonts w:hint="eastAsia" w:ascii="Times New Roman"/>
          <w:lang w:eastAsia="zh-CN"/>
        </w:rPr>
        <w:t>饮用水源地</w:t>
      </w:r>
      <w:r>
        <w:rPr>
          <w:rFonts w:ascii="Times New Roman"/>
        </w:rPr>
        <w:t>水质变差，不能达到饮用水源要求。因此，</w:t>
      </w:r>
      <w:r>
        <w:rPr>
          <w:rFonts w:hint="eastAsia" w:ascii="Times New Roman"/>
          <w:lang w:eastAsia="zh-CN"/>
        </w:rPr>
        <w:t>黄石</w:t>
      </w:r>
      <w:r>
        <w:rPr>
          <w:rFonts w:hint="eastAsia" w:ascii="Times New Roman"/>
        </w:rPr>
        <w:t>镇</w:t>
      </w:r>
      <w:r>
        <w:rPr>
          <w:rFonts w:hint="eastAsia" w:ascii="Times New Roman"/>
          <w:lang w:eastAsia="zh-CN"/>
        </w:rPr>
        <w:t>铁炉沟集中式饮用水水源地</w:t>
      </w:r>
      <w:r>
        <w:rPr>
          <w:rFonts w:ascii="Times New Roman"/>
        </w:rPr>
        <w:t>水质改善迫在眉睫。</w:t>
      </w:r>
    </w:p>
    <w:p w14:paraId="76538F42">
      <w:pPr>
        <w:pageBreakBefore w:val="0"/>
        <w:widowControl w:val="0"/>
        <w:kinsoku/>
        <w:bidi w:val="0"/>
        <w:spacing w:beforeAutospacing="0" w:afterAutospacing="0"/>
        <w:ind w:left="0" w:firstLine="480"/>
      </w:pPr>
      <w:r>
        <w:rPr>
          <w:rFonts w:hint="eastAsia" w:ascii="Times New Roman"/>
          <w:lang w:eastAsia="zh-CN"/>
        </w:rPr>
        <w:t>黄石</w:t>
      </w:r>
      <w:r>
        <w:rPr>
          <w:rFonts w:hint="eastAsia" w:ascii="Times New Roman"/>
        </w:rPr>
        <w:t>镇</w:t>
      </w:r>
      <w:r>
        <w:rPr>
          <w:rFonts w:hint="eastAsia" w:ascii="Times New Roman"/>
          <w:lang w:eastAsia="zh-CN"/>
        </w:rPr>
        <w:t>铁炉沟集中式饮用水水源地</w:t>
      </w:r>
      <w:r>
        <w:rPr>
          <w:rFonts w:ascii="Times New Roman"/>
        </w:rPr>
        <w:t>作为不达标集中式</w:t>
      </w:r>
      <w:r>
        <w:rPr>
          <w:rFonts w:hint="eastAsia" w:ascii="Times New Roman"/>
          <w:lang w:eastAsia="zh-CN"/>
        </w:rPr>
        <w:t>饮用水</w:t>
      </w:r>
      <w:r>
        <w:rPr>
          <w:rFonts w:ascii="Times New Roman"/>
        </w:rPr>
        <w:t>水源地之一，</w:t>
      </w:r>
      <w:bookmarkStart w:id="3" w:name="_Hlk44228783"/>
      <w:r>
        <w:rPr>
          <w:rFonts w:ascii="Times New Roman"/>
        </w:rPr>
        <w:t>需</w:t>
      </w:r>
      <w:r>
        <w:rPr>
          <w:rFonts w:hint="eastAsia" w:ascii="Times New Roman"/>
        </w:rPr>
        <w:t>制定</w:t>
      </w:r>
      <w:r>
        <w:rPr>
          <w:rFonts w:ascii="Times New Roman"/>
        </w:rPr>
        <w:t>水源地</w:t>
      </w:r>
      <w:r>
        <w:rPr>
          <w:rFonts w:hint="eastAsia" w:ascii="Times New Roman"/>
        </w:rPr>
        <w:t>达标整治方</w:t>
      </w:r>
      <w:r>
        <w:rPr>
          <w:rFonts w:ascii="Times New Roman"/>
        </w:rPr>
        <w:t>案，促进水源地水质改善</w:t>
      </w:r>
      <w:bookmarkEnd w:id="3"/>
      <w:r>
        <w:rPr>
          <w:rFonts w:ascii="Times New Roman"/>
        </w:rPr>
        <w:t>。编制单位重点调查了</w:t>
      </w:r>
      <w:r>
        <w:rPr>
          <w:rFonts w:hint="eastAsia" w:ascii="Times New Roman"/>
          <w:lang w:eastAsia="zh-CN"/>
        </w:rPr>
        <w:t>黄石</w:t>
      </w:r>
      <w:r>
        <w:rPr>
          <w:rFonts w:hint="eastAsia" w:ascii="Times New Roman"/>
        </w:rPr>
        <w:t>镇</w:t>
      </w:r>
      <w:r>
        <w:rPr>
          <w:rFonts w:hint="eastAsia" w:ascii="Times New Roman"/>
          <w:lang w:eastAsia="zh-CN"/>
        </w:rPr>
        <w:t>铁炉沟集中式饮用水水源地</w:t>
      </w:r>
      <w:r>
        <w:rPr>
          <w:rFonts w:ascii="Times New Roman"/>
        </w:rPr>
        <w:t>水环境污染现状，特别是对外源进行排</w:t>
      </w:r>
      <w:r>
        <w:rPr>
          <w:rFonts w:ascii="Times New Roman" w:hAnsi="Times New Roman" w:eastAsia="宋体" w:cs="Times New Roman"/>
        </w:rPr>
        <w:t>查和监测，剖析</w:t>
      </w:r>
      <w:r>
        <w:rPr>
          <w:rFonts w:ascii="Times New Roman"/>
        </w:rPr>
        <w:t>了水体污染成因。根据污染削减目标，</w:t>
      </w:r>
      <w:r>
        <w:rPr>
          <w:rFonts w:hint="eastAsia" w:ascii="Times New Roman"/>
        </w:rPr>
        <w:t>进一步提出了截断外源、治理水质，逐步建立水生生态系统、岸边生态修复等综合治理措施</w:t>
      </w:r>
      <w:r>
        <w:rPr>
          <w:rFonts w:ascii="Times New Roman"/>
        </w:rPr>
        <w:t>，将</w:t>
      </w:r>
      <w:r>
        <w:rPr>
          <w:rFonts w:hint="eastAsia" w:ascii="Times New Roman"/>
          <w:lang w:eastAsia="zh-CN"/>
        </w:rPr>
        <w:t>黄石</w:t>
      </w:r>
      <w:r>
        <w:rPr>
          <w:rFonts w:hint="eastAsia" w:ascii="Times New Roman"/>
        </w:rPr>
        <w:t>镇</w:t>
      </w:r>
      <w:r>
        <w:rPr>
          <w:rFonts w:hint="eastAsia" w:ascii="Times New Roman"/>
          <w:lang w:eastAsia="zh-CN"/>
        </w:rPr>
        <w:t>铁炉沟集中式饮用水水源地</w:t>
      </w:r>
      <w:r>
        <w:rPr>
          <w:rFonts w:ascii="Times New Roman"/>
        </w:rPr>
        <w:t>及周边进行综合治理，强化</w:t>
      </w:r>
      <w:r>
        <w:rPr>
          <w:rFonts w:hint="eastAsia" w:ascii="Times New Roman"/>
          <w:lang w:eastAsia="zh-CN"/>
        </w:rPr>
        <w:t>饮用水源地</w:t>
      </w:r>
      <w:r>
        <w:rPr>
          <w:rFonts w:ascii="Times New Roman"/>
        </w:rPr>
        <w:t>生态和水源服务功能，实现健康稳定的饮用水源系统。</w:t>
      </w:r>
      <w:r>
        <w:rPr>
          <w:rFonts w:hint="eastAsia" w:ascii="Times New Roman"/>
        </w:rPr>
        <w:t>本方案编制过程中，得到</w:t>
      </w:r>
      <w:r>
        <w:rPr>
          <w:rFonts w:hint="eastAsia" w:ascii="Times New Roman"/>
          <w:lang w:val="en-US" w:eastAsia="zh-CN"/>
        </w:rPr>
        <w:t>云阳县</w:t>
      </w:r>
      <w:r>
        <w:rPr>
          <w:rFonts w:hint="eastAsia" w:ascii="Times New Roman"/>
        </w:rPr>
        <w:t>生态环境局等相关单位的大力支持。</w:t>
      </w:r>
    </w:p>
    <w:p w14:paraId="2C2BBB00">
      <w:pPr>
        <w:pStyle w:val="9"/>
        <w:pageBreakBefore w:val="0"/>
        <w:widowControl w:val="0"/>
        <w:kinsoku/>
        <w:bidi w:val="0"/>
        <w:spacing w:before="0" w:beforeAutospacing="0" w:after="0" w:afterAutospacing="0"/>
        <w:ind w:left="0"/>
      </w:pPr>
      <w:bookmarkStart w:id="4" w:name="_Toc43925442"/>
      <w:bookmarkStart w:id="5" w:name="_Toc9073"/>
      <w:r>
        <w:t>总论</w:t>
      </w:r>
      <w:bookmarkEnd w:id="4"/>
      <w:bookmarkEnd w:id="5"/>
    </w:p>
    <w:p w14:paraId="01449B8D">
      <w:pPr>
        <w:pStyle w:val="11"/>
        <w:pageBreakBefore w:val="0"/>
        <w:widowControl w:val="0"/>
        <w:kinsoku/>
        <w:bidi w:val="0"/>
        <w:spacing w:before="0" w:beforeAutospacing="0" w:after="0" w:afterAutospacing="0"/>
        <w:ind w:left="0"/>
      </w:pPr>
      <w:bookmarkStart w:id="6" w:name="_Toc17398"/>
      <w:bookmarkStart w:id="7" w:name="_Toc43925443"/>
      <w:bookmarkStart w:id="8" w:name="_Toc38391108"/>
      <w:r>
        <w:t>指导思想</w:t>
      </w:r>
      <w:bookmarkEnd w:id="6"/>
      <w:bookmarkEnd w:id="7"/>
      <w:bookmarkEnd w:id="8"/>
    </w:p>
    <w:p w14:paraId="1E58ABDA">
      <w:pPr>
        <w:pageBreakBefore w:val="0"/>
        <w:widowControl w:val="0"/>
        <w:kinsoku/>
        <w:bidi w:val="0"/>
        <w:spacing w:beforeAutospacing="0" w:afterAutospacing="0"/>
        <w:ind w:left="0" w:firstLine="480"/>
        <w:rPr>
          <w:rFonts w:ascii="Times New Roman"/>
        </w:rPr>
      </w:pPr>
      <w:r>
        <w:rPr>
          <w:rFonts w:ascii="Times New Roman"/>
        </w:rPr>
        <w:t>为深入贯彻全国生态环境保护大会精神和党中央、国务院关于打好水源地保护攻坚战的决策部署，切实保障饮用水水源地水质安全，按照生态环境部、水利部《关于进一步开展饮用水水源地环境保护工作的通知》（环执法〔2018〕142号）文件要求，切实保障水环境安全，在分析水源地不达标原因的基础上，</w:t>
      </w:r>
      <w:r>
        <w:rPr>
          <w:rFonts w:hint="eastAsia" w:ascii="Times New Roman"/>
          <w:lang w:eastAsia="zh-CN"/>
        </w:rPr>
        <w:t>制定</w:t>
      </w:r>
      <w:r>
        <w:rPr>
          <w:rFonts w:ascii="Times New Roman"/>
        </w:rPr>
        <w:t>“一源一案”整治方案实施环境问题整治。</w:t>
      </w:r>
    </w:p>
    <w:p w14:paraId="0D56B306">
      <w:pPr>
        <w:pStyle w:val="11"/>
        <w:pageBreakBefore w:val="0"/>
        <w:widowControl w:val="0"/>
        <w:kinsoku/>
        <w:bidi w:val="0"/>
        <w:spacing w:before="0" w:beforeAutospacing="0" w:after="0" w:afterAutospacing="0"/>
        <w:ind w:left="0"/>
      </w:pPr>
      <w:bookmarkStart w:id="9" w:name="_Toc38391109"/>
      <w:bookmarkStart w:id="10" w:name="_Toc43925444"/>
      <w:bookmarkStart w:id="11" w:name="_Toc29962"/>
      <w:r>
        <w:t>编制依据和原则</w:t>
      </w:r>
      <w:bookmarkEnd w:id="9"/>
      <w:bookmarkEnd w:id="10"/>
      <w:bookmarkEnd w:id="11"/>
    </w:p>
    <w:p w14:paraId="4A9EE58A">
      <w:pPr>
        <w:pStyle w:val="10"/>
        <w:pageBreakBefore w:val="0"/>
        <w:widowControl w:val="0"/>
        <w:kinsoku/>
        <w:bidi w:val="0"/>
        <w:spacing w:before="0" w:beforeAutospacing="0" w:after="0" w:afterAutospacing="0"/>
        <w:ind w:left="0"/>
      </w:pPr>
      <w:bookmarkStart w:id="12" w:name="_Toc38391110"/>
      <w:bookmarkStart w:id="13" w:name="_Toc43925445"/>
      <w:bookmarkStart w:id="14" w:name="_Toc24850"/>
      <w:r>
        <w:t>编制依据</w:t>
      </w:r>
      <w:bookmarkEnd w:id="12"/>
      <w:bookmarkEnd w:id="13"/>
      <w:bookmarkEnd w:id="14"/>
    </w:p>
    <w:p w14:paraId="2EA90F2C">
      <w:pPr>
        <w:pageBreakBefore w:val="0"/>
        <w:widowControl w:val="0"/>
        <w:kinsoku/>
        <w:bidi w:val="0"/>
        <w:spacing w:beforeAutospacing="0" w:afterAutospacing="0"/>
        <w:ind w:left="0" w:firstLine="482"/>
        <w:rPr>
          <w:rFonts w:ascii="Times New Roman"/>
          <w:b/>
        </w:rPr>
      </w:pPr>
      <w:r>
        <w:rPr>
          <w:rFonts w:ascii="Times New Roman"/>
          <w:b/>
        </w:rPr>
        <w:t>1.法律法规</w:t>
      </w:r>
    </w:p>
    <w:p w14:paraId="1B5358E8">
      <w:pPr>
        <w:pageBreakBefore w:val="0"/>
        <w:widowControl w:val="0"/>
        <w:kinsoku/>
        <w:bidi w:val="0"/>
        <w:spacing w:beforeAutospacing="0" w:afterAutospacing="0"/>
        <w:ind w:left="0" w:firstLine="480"/>
        <w:rPr>
          <w:rFonts w:ascii="Times New Roman"/>
        </w:rPr>
      </w:pPr>
      <w:r>
        <w:rPr>
          <w:rFonts w:ascii="Times New Roman"/>
        </w:rPr>
        <w:t>（1）中华人民共和国水污染防治法(2017年6月27日第二次修正)</w:t>
      </w:r>
    </w:p>
    <w:p w14:paraId="380F0D86">
      <w:pPr>
        <w:pageBreakBefore w:val="0"/>
        <w:widowControl w:val="0"/>
        <w:kinsoku/>
        <w:bidi w:val="0"/>
        <w:spacing w:beforeAutospacing="0" w:afterAutospacing="0"/>
        <w:ind w:left="0" w:firstLine="480"/>
        <w:rPr>
          <w:rFonts w:ascii="Times New Roman"/>
        </w:rPr>
      </w:pPr>
      <w:r>
        <w:rPr>
          <w:rFonts w:ascii="Times New Roman"/>
        </w:rPr>
        <w:t>（2）新《中华人民共和国水法》（2016年7月修订）</w:t>
      </w:r>
    </w:p>
    <w:p w14:paraId="6BF11562">
      <w:pPr>
        <w:pageBreakBefore w:val="0"/>
        <w:widowControl w:val="0"/>
        <w:kinsoku/>
        <w:bidi w:val="0"/>
        <w:spacing w:beforeAutospacing="0" w:afterAutospacing="0"/>
        <w:ind w:left="0" w:firstLine="480"/>
        <w:rPr>
          <w:rFonts w:ascii="Times New Roman"/>
        </w:rPr>
      </w:pPr>
      <w:r>
        <w:rPr>
          <w:rFonts w:ascii="Times New Roman"/>
        </w:rPr>
        <w:t>（3）中华人民共和国环境保护法（自2015年1月1日起施行）</w:t>
      </w:r>
    </w:p>
    <w:p w14:paraId="5505F990">
      <w:pPr>
        <w:pageBreakBefore w:val="0"/>
        <w:widowControl w:val="0"/>
        <w:kinsoku/>
        <w:bidi w:val="0"/>
        <w:spacing w:beforeAutospacing="0" w:afterAutospacing="0"/>
        <w:ind w:left="0" w:firstLine="480"/>
        <w:rPr>
          <w:rFonts w:ascii="Times New Roman"/>
        </w:rPr>
      </w:pPr>
      <w:r>
        <w:rPr>
          <w:rFonts w:ascii="Times New Roman"/>
        </w:rPr>
        <w:t>（4）中华人民共和国水土保持法（2010年12月25日修订）</w:t>
      </w:r>
    </w:p>
    <w:p w14:paraId="1AA6FB03">
      <w:pPr>
        <w:pageBreakBefore w:val="0"/>
        <w:widowControl w:val="0"/>
        <w:kinsoku/>
        <w:bidi w:val="0"/>
        <w:spacing w:beforeAutospacing="0" w:afterAutospacing="0"/>
        <w:ind w:left="0" w:firstLine="480"/>
        <w:rPr>
          <w:rFonts w:ascii="Times New Roman"/>
        </w:rPr>
      </w:pPr>
      <w:r>
        <w:rPr>
          <w:rFonts w:ascii="Times New Roman"/>
        </w:rPr>
        <w:t>（5）畜禽规模养殖污染防治条例（自2014年1月1日起施行）</w:t>
      </w:r>
    </w:p>
    <w:p w14:paraId="2CF8D042">
      <w:pPr>
        <w:pageBreakBefore w:val="0"/>
        <w:widowControl w:val="0"/>
        <w:kinsoku/>
        <w:bidi w:val="0"/>
        <w:spacing w:beforeAutospacing="0" w:afterAutospacing="0"/>
        <w:ind w:left="0" w:firstLine="480"/>
        <w:rPr>
          <w:rFonts w:ascii="Times New Roman"/>
        </w:rPr>
      </w:pPr>
      <w:r>
        <w:rPr>
          <w:rFonts w:ascii="Times New Roman"/>
        </w:rPr>
        <w:t>（6）重庆市环境保护条例</w:t>
      </w:r>
    </w:p>
    <w:p w14:paraId="76D488DC">
      <w:pPr>
        <w:pageBreakBefore w:val="0"/>
        <w:widowControl w:val="0"/>
        <w:kinsoku/>
        <w:bidi w:val="0"/>
        <w:spacing w:beforeAutospacing="0" w:afterAutospacing="0"/>
        <w:ind w:left="0" w:firstLine="480"/>
        <w:rPr>
          <w:rFonts w:ascii="Times New Roman"/>
        </w:rPr>
      </w:pPr>
      <w:r>
        <w:rPr>
          <w:rFonts w:ascii="Times New Roman"/>
        </w:rPr>
        <w:t>（7）重庆市水资源管理条例</w:t>
      </w:r>
    </w:p>
    <w:p w14:paraId="48FDEA34">
      <w:pPr>
        <w:pageBreakBefore w:val="0"/>
        <w:widowControl w:val="0"/>
        <w:kinsoku/>
        <w:bidi w:val="0"/>
        <w:spacing w:beforeAutospacing="0" w:afterAutospacing="0"/>
        <w:ind w:left="0" w:firstLine="480"/>
        <w:rPr>
          <w:rFonts w:ascii="Times New Roman"/>
        </w:rPr>
      </w:pPr>
      <w:r>
        <w:rPr>
          <w:rFonts w:ascii="Times New Roman"/>
        </w:rPr>
        <w:t>（8）重庆市水污染防治条例</w:t>
      </w:r>
    </w:p>
    <w:p w14:paraId="7F787D99">
      <w:pPr>
        <w:pageBreakBefore w:val="0"/>
        <w:widowControl w:val="0"/>
        <w:kinsoku/>
        <w:bidi w:val="0"/>
        <w:spacing w:beforeAutospacing="0" w:afterAutospacing="0"/>
        <w:ind w:left="0" w:firstLine="482"/>
        <w:rPr>
          <w:rFonts w:ascii="Times New Roman"/>
          <w:b/>
        </w:rPr>
      </w:pPr>
      <w:r>
        <w:rPr>
          <w:rFonts w:ascii="Times New Roman"/>
          <w:b/>
        </w:rPr>
        <w:t>2.规章制度</w:t>
      </w:r>
    </w:p>
    <w:p w14:paraId="25FFC189">
      <w:pPr>
        <w:pageBreakBefore w:val="0"/>
        <w:widowControl w:val="0"/>
        <w:kinsoku/>
        <w:bidi w:val="0"/>
        <w:spacing w:beforeAutospacing="0" w:afterAutospacing="0"/>
        <w:ind w:left="0" w:firstLine="480"/>
        <w:rPr>
          <w:rFonts w:ascii="Times New Roman"/>
        </w:rPr>
      </w:pPr>
      <w:r>
        <w:rPr>
          <w:rFonts w:ascii="Times New Roman"/>
        </w:rPr>
        <w:t>（1）饮用水水源保护区污染防治管理规定（〔89〕环管字第201号）</w:t>
      </w:r>
    </w:p>
    <w:p w14:paraId="64B0FA79">
      <w:pPr>
        <w:pageBreakBefore w:val="0"/>
        <w:widowControl w:val="0"/>
        <w:kinsoku/>
        <w:bidi w:val="0"/>
        <w:spacing w:beforeAutospacing="0" w:afterAutospacing="0"/>
        <w:ind w:left="0" w:firstLine="482"/>
        <w:rPr>
          <w:rFonts w:ascii="Times New Roman"/>
          <w:b/>
        </w:rPr>
      </w:pPr>
      <w:r>
        <w:rPr>
          <w:rFonts w:ascii="Times New Roman"/>
          <w:b/>
        </w:rPr>
        <w:t>3.标准规范</w:t>
      </w:r>
    </w:p>
    <w:p w14:paraId="66C0FD0A">
      <w:pPr>
        <w:pageBreakBefore w:val="0"/>
        <w:widowControl w:val="0"/>
        <w:kinsoku/>
        <w:bidi w:val="0"/>
        <w:spacing w:beforeAutospacing="0" w:afterAutospacing="0"/>
        <w:ind w:left="0" w:firstLine="480"/>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《地</w:t>
      </w:r>
      <w:r>
        <w:rPr>
          <w:rFonts w:hint="eastAsia" w:ascii="Times New Roman" w:hAnsi="Times New Roman" w:eastAsia="宋体" w:cs="Times New Roman"/>
          <w:lang w:val="en-US" w:eastAsia="zh-CN"/>
        </w:rPr>
        <w:t>表</w:t>
      </w:r>
      <w:r>
        <w:rPr>
          <w:rFonts w:hint="eastAsia" w:ascii="Times New Roman" w:hAnsi="Times New Roman" w:eastAsia="宋体" w:cs="Times New Roman"/>
        </w:rPr>
        <w:t>水</w:t>
      </w:r>
      <w:r>
        <w:rPr>
          <w:rFonts w:hint="eastAsia" w:ascii="Times New Roman" w:hAnsi="Times New Roman" w:eastAsia="宋体" w:cs="Times New Roman"/>
          <w:lang w:val="en-US" w:eastAsia="zh-CN"/>
        </w:rPr>
        <w:t>环境</w:t>
      </w:r>
      <w:r>
        <w:rPr>
          <w:rFonts w:hint="eastAsia" w:ascii="Times New Roman" w:hAnsi="Times New Roman" w:eastAsia="宋体" w:cs="Times New Roman"/>
        </w:rPr>
        <w:t xml:space="preserve">质量标准》（GB </w:t>
      </w:r>
      <w:r>
        <w:rPr>
          <w:rFonts w:hint="eastAsia" w:ascii="Times New Roman" w:hAnsi="Times New Roman" w:eastAsia="宋体" w:cs="Times New Roman"/>
          <w:lang w:val="en-US" w:eastAsia="zh-CN"/>
        </w:rPr>
        <w:t>3838</w:t>
      </w:r>
      <w:r>
        <w:rPr>
          <w:rFonts w:hint="eastAsia" w:ascii="Times New Roman" w:hAnsi="Times New Roman" w:eastAsia="宋体" w:cs="Times New Roman"/>
        </w:rPr>
        <w:t>-20</w:t>
      </w:r>
      <w:r>
        <w:rPr>
          <w:rFonts w:hint="eastAsia" w:ascii="Times New Roman" w:hAnsi="Times New Roman" w:eastAsia="宋体" w:cs="Times New Roman"/>
          <w:lang w:val="en-US" w:eastAsia="zh-CN"/>
        </w:rPr>
        <w:t>02</w:t>
      </w:r>
      <w:r>
        <w:rPr>
          <w:rFonts w:hint="eastAsia" w:ascii="Times New Roman" w:hAnsi="Times New Roman" w:eastAsia="宋体" w:cs="Times New Roman"/>
        </w:rPr>
        <w:t>）》</w:t>
      </w:r>
      <w:r>
        <w:rPr>
          <w:rFonts w:ascii="Times New Roman" w:hAnsi="Times New Roman" w:eastAsia="宋体" w:cs="Times New Roman"/>
        </w:rPr>
        <w:t>Ⅲ类标准</w:t>
      </w:r>
    </w:p>
    <w:p w14:paraId="56D6A258">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2</w:t>
      </w:r>
      <w:r>
        <w:rPr>
          <w:rFonts w:ascii="Times New Roman"/>
        </w:rPr>
        <w:t>）农田灌溉水质标准（GB 5084-2005）</w:t>
      </w:r>
    </w:p>
    <w:p w14:paraId="6231D4DA">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3</w:t>
      </w:r>
      <w:r>
        <w:rPr>
          <w:rFonts w:ascii="Times New Roman"/>
        </w:rPr>
        <w:t>）集中式饮用水水源地环境保护状况评估技术规范(HJ 774-2015)</w:t>
      </w:r>
    </w:p>
    <w:p w14:paraId="7F60059F">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4</w:t>
      </w:r>
      <w:r>
        <w:rPr>
          <w:rFonts w:ascii="Times New Roman"/>
        </w:rPr>
        <w:t>）集中式饮用水水源地规范化建设环境保护技术要求(HJ 773-2015)</w:t>
      </w:r>
    </w:p>
    <w:p w14:paraId="69C060CD">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5</w:t>
      </w:r>
      <w:r>
        <w:rPr>
          <w:rFonts w:ascii="Times New Roman"/>
        </w:rPr>
        <w:t>）饮用水水源保护区标志技术要求（HJ/T 433-2008）</w:t>
      </w:r>
    </w:p>
    <w:p w14:paraId="5A3CE7B2">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6</w:t>
      </w:r>
      <w:r>
        <w:rPr>
          <w:rFonts w:ascii="Times New Roman"/>
        </w:rPr>
        <w:t>）饮用水水源保护区划分技术规范（HJ 338-2018）</w:t>
      </w:r>
    </w:p>
    <w:p w14:paraId="66716E98">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7</w:t>
      </w:r>
      <w:r>
        <w:rPr>
          <w:rFonts w:ascii="Times New Roman"/>
        </w:rPr>
        <w:t>）集中式地表水饮用水水源地突发环境事件应急预案编制指南（试行）（2018年3月26日颁布）</w:t>
      </w:r>
    </w:p>
    <w:p w14:paraId="610DC74F">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8</w:t>
      </w:r>
      <w:r>
        <w:rPr>
          <w:rFonts w:ascii="Times New Roman"/>
        </w:rPr>
        <w:t>）畜禽养殖业污染防治技术规范（HJ/T 81-2001）</w:t>
      </w:r>
    </w:p>
    <w:p w14:paraId="1F099BBF">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9</w:t>
      </w:r>
      <w:r>
        <w:rPr>
          <w:rFonts w:ascii="Times New Roman"/>
        </w:rPr>
        <w:t>）水污染治理工程技术导则(HJ 2015-2012)</w:t>
      </w:r>
    </w:p>
    <w:p w14:paraId="78C4D944">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lang w:val="en-US" w:eastAsia="zh-CN"/>
        </w:rPr>
        <w:t>10</w:t>
      </w:r>
      <w:r>
        <w:rPr>
          <w:rFonts w:ascii="Times New Roman"/>
        </w:rPr>
        <w:t>）人工湿地污水处理工程技术规范 HJ 2005-2010</w:t>
      </w:r>
    </w:p>
    <w:p w14:paraId="503F4B5A">
      <w:pPr>
        <w:pageBreakBefore w:val="0"/>
        <w:widowControl w:val="0"/>
        <w:kinsoku/>
        <w:bidi w:val="0"/>
        <w:spacing w:beforeAutospacing="0" w:afterAutospacing="0"/>
        <w:ind w:left="0" w:firstLine="480"/>
        <w:rPr>
          <w:rFonts w:ascii="Times New Roman"/>
        </w:rPr>
      </w:pPr>
      <w:r>
        <w:rPr>
          <w:rFonts w:ascii="Times New Roman"/>
        </w:rPr>
        <w:t>（1</w:t>
      </w:r>
      <w:r>
        <w:rPr>
          <w:rFonts w:hint="eastAsia" w:ascii="Times New Roman"/>
          <w:lang w:val="en-US" w:eastAsia="zh-CN"/>
        </w:rPr>
        <w:t>1</w:t>
      </w:r>
      <w:r>
        <w:rPr>
          <w:rFonts w:ascii="Times New Roman"/>
        </w:rPr>
        <w:t>）农村生活污染控制技术规范 HJ 574-2010</w:t>
      </w:r>
    </w:p>
    <w:p w14:paraId="217D70C9">
      <w:pPr>
        <w:pageBreakBefore w:val="0"/>
        <w:widowControl w:val="0"/>
        <w:kinsoku/>
        <w:bidi w:val="0"/>
        <w:spacing w:beforeAutospacing="0" w:afterAutospacing="0"/>
        <w:ind w:left="0" w:firstLine="480"/>
        <w:rPr>
          <w:rFonts w:ascii="Times New Roman"/>
        </w:rPr>
      </w:pPr>
      <w:r>
        <w:rPr>
          <w:rFonts w:ascii="Times New Roman"/>
        </w:rPr>
        <w:t>（1</w:t>
      </w:r>
      <w:r>
        <w:rPr>
          <w:rFonts w:hint="eastAsia" w:ascii="Times New Roman"/>
          <w:lang w:val="en-US" w:eastAsia="zh-CN"/>
        </w:rPr>
        <w:t>2</w:t>
      </w:r>
      <w:r>
        <w:rPr>
          <w:rFonts w:ascii="Times New Roman"/>
        </w:rPr>
        <w:t>）畜禽养殖业污染治理工程技术规范 HJ 497-2009</w:t>
      </w:r>
    </w:p>
    <w:p w14:paraId="6CB11C9F">
      <w:pPr>
        <w:pageBreakBefore w:val="0"/>
        <w:widowControl w:val="0"/>
        <w:kinsoku/>
        <w:bidi w:val="0"/>
        <w:spacing w:beforeAutospacing="0" w:afterAutospacing="0"/>
        <w:ind w:left="0" w:firstLine="480"/>
        <w:rPr>
          <w:rFonts w:ascii="Times New Roman"/>
        </w:rPr>
      </w:pPr>
      <w:r>
        <w:rPr>
          <w:rFonts w:ascii="Times New Roman"/>
        </w:rPr>
        <w:t>（1</w:t>
      </w:r>
      <w:r>
        <w:rPr>
          <w:rFonts w:hint="eastAsia" w:ascii="Times New Roman"/>
          <w:lang w:val="en-US" w:eastAsia="zh-CN"/>
        </w:rPr>
        <w:t>3</w:t>
      </w:r>
      <w:r>
        <w:rPr>
          <w:rFonts w:ascii="Times New Roman"/>
        </w:rPr>
        <w:t>）农村生活污水集中处理设施水污染物排放标准（DB 50／848-2018)</w:t>
      </w:r>
    </w:p>
    <w:p w14:paraId="65E0ABD9">
      <w:pPr>
        <w:pageBreakBefore w:val="0"/>
        <w:widowControl w:val="0"/>
        <w:kinsoku/>
        <w:bidi w:val="0"/>
        <w:spacing w:beforeAutospacing="0" w:afterAutospacing="0"/>
        <w:ind w:left="0" w:firstLine="480"/>
        <w:rPr>
          <w:rFonts w:ascii="Times New Roman"/>
        </w:rPr>
      </w:pPr>
      <w:r>
        <w:rPr>
          <w:rFonts w:ascii="Times New Roman"/>
        </w:rPr>
        <w:t>（1</w:t>
      </w:r>
      <w:r>
        <w:rPr>
          <w:rFonts w:hint="eastAsia" w:ascii="Times New Roman"/>
          <w:lang w:val="en-US" w:eastAsia="zh-CN"/>
        </w:rPr>
        <w:t>4</w:t>
      </w:r>
      <w:r>
        <w:rPr>
          <w:rFonts w:ascii="Times New Roman"/>
        </w:rPr>
        <w:t>）重庆市农村生活污水及生活垃圾处理适宜技术推荐（试行）</w:t>
      </w:r>
    </w:p>
    <w:p w14:paraId="5D6EA202">
      <w:pPr>
        <w:pageBreakBefore w:val="0"/>
        <w:widowControl w:val="0"/>
        <w:kinsoku/>
        <w:bidi w:val="0"/>
        <w:spacing w:beforeAutospacing="0" w:afterAutospacing="0"/>
        <w:ind w:left="0" w:firstLine="482"/>
        <w:rPr>
          <w:rFonts w:ascii="Times New Roman"/>
          <w:b/>
        </w:rPr>
      </w:pPr>
      <w:bookmarkStart w:id="15" w:name="_Toc38391111"/>
      <w:r>
        <w:rPr>
          <w:rFonts w:ascii="Times New Roman"/>
          <w:b/>
        </w:rPr>
        <w:t>4.通知文件</w:t>
      </w:r>
    </w:p>
    <w:p w14:paraId="16C823AE">
      <w:pPr>
        <w:pageBreakBefore w:val="0"/>
        <w:widowControl w:val="0"/>
        <w:kinsoku/>
        <w:bidi w:val="0"/>
        <w:spacing w:beforeAutospacing="0" w:afterAutospacing="0"/>
        <w:ind w:left="0" w:firstLine="480"/>
        <w:rPr>
          <w:rFonts w:ascii="Times New Roman"/>
        </w:rPr>
      </w:pPr>
      <w:r>
        <w:rPr>
          <w:rFonts w:ascii="Times New Roman"/>
        </w:rPr>
        <w:t>（1）《关于答复全国集中式饮用水水源地环境保护专项行动有关问题的函》（环办环监函〔2018〕767号）</w:t>
      </w:r>
    </w:p>
    <w:p w14:paraId="218F99BB">
      <w:pPr>
        <w:pageBreakBefore w:val="0"/>
        <w:widowControl w:val="0"/>
        <w:kinsoku/>
        <w:bidi w:val="0"/>
        <w:spacing w:beforeAutospacing="0" w:afterAutospacing="0"/>
        <w:ind w:left="0" w:firstLine="480"/>
        <w:rPr>
          <w:rFonts w:ascii="Times New Roman"/>
        </w:rPr>
      </w:pPr>
      <w:r>
        <w:rPr>
          <w:rFonts w:ascii="Times New Roman"/>
        </w:rPr>
        <w:t>（2）重庆市环境保护局关于印发《重庆市集中式生活饮用水水源水质监测信息公开方案》的通知</w:t>
      </w:r>
    </w:p>
    <w:p w14:paraId="0AC2BCB0">
      <w:pPr>
        <w:pageBreakBefore w:val="0"/>
        <w:widowControl w:val="0"/>
        <w:kinsoku/>
        <w:bidi w:val="0"/>
        <w:spacing w:beforeAutospacing="0" w:afterAutospacing="0"/>
        <w:ind w:left="0" w:firstLine="480"/>
        <w:rPr>
          <w:rFonts w:ascii="Times New Roman"/>
        </w:rPr>
      </w:pPr>
      <w:r>
        <w:rPr>
          <w:rFonts w:ascii="Times New Roman"/>
        </w:rPr>
        <w:t>（3）</w:t>
      </w:r>
      <w:r>
        <w:rPr>
          <w:rFonts w:hint="eastAsia" w:ascii="Times New Roman" w:hAnsi="Times New Roman" w:eastAsia="宋体" w:cs="Times New Roman"/>
          <w:szCs w:val="28"/>
          <w:lang w:val="en-US" w:eastAsia="zh-CN"/>
        </w:rPr>
        <w:t>《万州等18个区县（自治县）集中式饮用水水源地保护区划分及调整方案》（渝府办发〔201</w:t>
      </w:r>
      <w:r>
        <w:rPr>
          <w:rFonts w:hint="eastAsia" w:ascii="Times New Roman" w:cs="Times New Roman"/>
          <w:szCs w:val="28"/>
          <w:lang w:val="en-US" w:eastAsia="zh-CN"/>
        </w:rPr>
        <w:t>7</w:t>
      </w:r>
      <w:r>
        <w:rPr>
          <w:rFonts w:hint="eastAsia" w:ascii="Times New Roman" w:hAnsi="Times New Roman" w:eastAsia="宋体" w:cs="Times New Roman"/>
          <w:szCs w:val="28"/>
          <w:lang w:val="en-US" w:eastAsia="zh-CN"/>
        </w:rPr>
        <w:t>〕</w:t>
      </w:r>
      <w:r>
        <w:rPr>
          <w:rFonts w:hint="eastAsia" w:ascii="Times New Roman" w:cs="Times New Roman"/>
          <w:szCs w:val="28"/>
          <w:lang w:val="en-US" w:eastAsia="zh-CN"/>
        </w:rPr>
        <w:t>21</w:t>
      </w:r>
      <w:r>
        <w:rPr>
          <w:rFonts w:hint="eastAsia" w:ascii="Times New Roman" w:hAnsi="Times New Roman" w:eastAsia="宋体" w:cs="Times New Roman"/>
          <w:szCs w:val="28"/>
          <w:lang w:val="en-US" w:eastAsia="zh-CN"/>
        </w:rPr>
        <w:t>号）</w:t>
      </w:r>
    </w:p>
    <w:p w14:paraId="70129F62">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rPr>
        <w:t>4</w:t>
      </w:r>
      <w:r>
        <w:rPr>
          <w:rFonts w:ascii="Times New Roman"/>
        </w:rPr>
        <w:t>）《关于答复全国集中式饮用水水源地环境保护专项行动有关问题的函》（环办环监函〔2018〕767号）</w:t>
      </w:r>
    </w:p>
    <w:p w14:paraId="63213F3B">
      <w:pPr>
        <w:pageBreakBefore w:val="0"/>
        <w:widowControl w:val="0"/>
        <w:kinsoku/>
        <w:bidi w:val="0"/>
        <w:spacing w:beforeAutospacing="0" w:afterAutospacing="0"/>
        <w:ind w:left="0" w:firstLine="482"/>
        <w:rPr>
          <w:rFonts w:ascii="Times New Roman"/>
          <w:b/>
        </w:rPr>
      </w:pPr>
      <w:r>
        <w:rPr>
          <w:rFonts w:ascii="Times New Roman"/>
          <w:b/>
        </w:rPr>
        <w:t>5.规划方案</w:t>
      </w:r>
    </w:p>
    <w:p w14:paraId="4108A075">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rPr>
        <w:t>1</w:t>
      </w:r>
      <w:r>
        <w:rPr>
          <w:rFonts w:ascii="Times New Roman"/>
        </w:rPr>
        <w:t>）《重点流域水污染防治规划（20</w:t>
      </w:r>
      <w:r>
        <w:rPr>
          <w:rFonts w:hint="eastAsia" w:ascii="Times New Roman"/>
        </w:rPr>
        <w:t>21</w:t>
      </w:r>
      <w:r>
        <w:rPr>
          <w:rFonts w:ascii="Times New Roman"/>
        </w:rPr>
        <w:t>-202</w:t>
      </w:r>
      <w:r>
        <w:rPr>
          <w:rFonts w:hint="eastAsia" w:ascii="Times New Roman"/>
        </w:rPr>
        <w:t>5</w:t>
      </w:r>
      <w:r>
        <w:rPr>
          <w:rFonts w:ascii="Times New Roman"/>
        </w:rPr>
        <w:t>年）》</w:t>
      </w:r>
    </w:p>
    <w:p w14:paraId="1DCB576E">
      <w:pPr>
        <w:pageBreakBefore w:val="0"/>
        <w:widowControl w:val="0"/>
        <w:kinsoku/>
        <w:bidi w:val="0"/>
        <w:spacing w:beforeAutospacing="0" w:afterAutospacing="0"/>
        <w:ind w:left="0" w:firstLine="480"/>
        <w:rPr>
          <w:rFonts w:ascii="Times New Roman"/>
        </w:rPr>
      </w:pPr>
      <w:r>
        <w:rPr>
          <w:rFonts w:ascii="Times New Roman"/>
        </w:rPr>
        <w:t>（</w:t>
      </w:r>
      <w:r>
        <w:rPr>
          <w:rFonts w:hint="eastAsia" w:ascii="Times New Roman"/>
        </w:rPr>
        <w:t>2</w:t>
      </w:r>
      <w:r>
        <w:rPr>
          <w:rFonts w:ascii="Times New Roman"/>
        </w:rPr>
        <w:t>）《</w:t>
      </w:r>
      <w:r>
        <w:rPr>
          <w:rFonts w:hint="eastAsia" w:ascii="Times New Roman"/>
        </w:rPr>
        <w:t>重庆市水生态环境保护“十四五”规划（2021—2025年）》</w:t>
      </w:r>
    </w:p>
    <w:p w14:paraId="7EA1A675">
      <w:pPr>
        <w:pStyle w:val="10"/>
        <w:pageBreakBefore w:val="0"/>
        <w:widowControl w:val="0"/>
        <w:kinsoku/>
        <w:bidi w:val="0"/>
        <w:spacing w:before="0" w:beforeAutospacing="0" w:after="0" w:afterAutospacing="0"/>
        <w:ind w:left="0"/>
      </w:pPr>
      <w:bookmarkStart w:id="16" w:name="_Toc43925446"/>
      <w:bookmarkStart w:id="17" w:name="_Toc14750"/>
      <w:r>
        <w:t>编制原则</w:t>
      </w:r>
      <w:bookmarkEnd w:id="15"/>
      <w:bookmarkEnd w:id="16"/>
      <w:bookmarkEnd w:id="17"/>
    </w:p>
    <w:p w14:paraId="44A4A13E">
      <w:pPr>
        <w:pageBreakBefore w:val="0"/>
        <w:widowControl w:val="0"/>
        <w:kinsoku/>
        <w:bidi w:val="0"/>
        <w:spacing w:beforeAutospacing="0" w:afterAutospacing="0"/>
        <w:ind w:left="0" w:firstLine="482"/>
        <w:rPr>
          <w:rFonts w:ascii="Times New Roman"/>
          <w:szCs w:val="28"/>
        </w:rPr>
      </w:pPr>
      <w:r>
        <w:rPr>
          <w:rFonts w:ascii="Times New Roman"/>
          <w:b/>
          <w:szCs w:val="28"/>
        </w:rPr>
        <w:t>现场调查与资料收集相同步。</w:t>
      </w:r>
      <w:r>
        <w:rPr>
          <w:rFonts w:ascii="Times New Roman"/>
        </w:rPr>
        <w:t>采用现场调查和资料收集相结合的方法，收集</w:t>
      </w:r>
      <w:r>
        <w:rPr>
          <w:rFonts w:hint="eastAsia"/>
          <w:sz w:val="24"/>
          <w:lang w:eastAsia="zh-CN"/>
        </w:rPr>
        <w:t>黄石</w:t>
      </w:r>
      <w:r>
        <w:rPr>
          <w:rFonts w:hint="eastAsia"/>
          <w:sz w:val="24"/>
        </w:rPr>
        <w:t>镇</w:t>
      </w:r>
      <w:r>
        <w:rPr>
          <w:rFonts w:hint="eastAsia"/>
          <w:sz w:val="24"/>
          <w:lang w:eastAsia="zh-CN"/>
        </w:rPr>
        <w:t>铁炉沟集中式饮用水水源地</w:t>
      </w:r>
      <w:r>
        <w:rPr>
          <w:rFonts w:ascii="Times New Roman"/>
        </w:rPr>
        <w:t>历年水质监测数据和相关整治方案资料，掌握</w:t>
      </w:r>
      <w:r>
        <w:rPr>
          <w:rFonts w:hint="eastAsia" w:ascii="Times New Roman"/>
          <w:lang w:eastAsia="zh-CN"/>
        </w:rPr>
        <w:t>黄石镇铁炉沟集中式饮用水水源地</w:t>
      </w:r>
      <w:r>
        <w:rPr>
          <w:rFonts w:ascii="Times New Roman"/>
        </w:rPr>
        <w:t>环境保护与规范化建设情况现状。</w:t>
      </w:r>
    </w:p>
    <w:p w14:paraId="2AAB53E0">
      <w:pPr>
        <w:pageBreakBefore w:val="0"/>
        <w:widowControl w:val="0"/>
        <w:kinsoku/>
        <w:bidi w:val="0"/>
        <w:spacing w:beforeAutospacing="0" w:afterAutospacing="0"/>
        <w:ind w:left="0" w:firstLine="482"/>
        <w:rPr>
          <w:rFonts w:ascii="Times New Roman"/>
          <w:b/>
        </w:rPr>
      </w:pPr>
      <w:r>
        <w:rPr>
          <w:rFonts w:ascii="Times New Roman"/>
          <w:b/>
        </w:rPr>
        <w:t>主要问题与一般问题相兼顾。</w:t>
      </w:r>
      <w:r>
        <w:rPr>
          <w:rFonts w:ascii="Times New Roman"/>
        </w:rPr>
        <w:t>从外源污染、内源污染的角度分析</w:t>
      </w:r>
      <w:r>
        <w:rPr>
          <w:rFonts w:hint="eastAsia" w:ascii="Times New Roman"/>
          <w:lang w:eastAsia="zh-CN"/>
        </w:rPr>
        <w:t>黄石镇铁炉沟集中式饮用水水源地</w:t>
      </w:r>
      <w:r>
        <w:rPr>
          <w:rFonts w:ascii="Times New Roman"/>
        </w:rPr>
        <w:t>存在的环境保护问题和导致水质不达标的关键问题，针对主要问题和一般问题，制定污染治理措施。</w:t>
      </w:r>
    </w:p>
    <w:p w14:paraId="1BDF89CA">
      <w:pPr>
        <w:pageBreakBefore w:val="0"/>
        <w:widowControl w:val="0"/>
        <w:kinsoku/>
        <w:bidi w:val="0"/>
        <w:spacing w:beforeAutospacing="0" w:afterAutospacing="0"/>
        <w:ind w:left="0" w:firstLine="482"/>
        <w:rPr>
          <w:rFonts w:ascii="Times New Roman"/>
          <w:b/>
        </w:rPr>
      </w:pPr>
      <w:r>
        <w:rPr>
          <w:rFonts w:ascii="Times New Roman"/>
          <w:b/>
        </w:rPr>
        <w:t>污染治理与生态修复相并重。</w:t>
      </w:r>
      <w:r>
        <w:rPr>
          <w:rFonts w:ascii="Times New Roman"/>
        </w:rPr>
        <w:t>结合</w:t>
      </w:r>
      <w:r>
        <w:rPr>
          <w:rFonts w:hint="eastAsia" w:ascii="Times New Roman"/>
          <w:lang w:eastAsia="zh-CN"/>
        </w:rPr>
        <w:t>黄石镇铁炉沟集中式饮用水水源地</w:t>
      </w:r>
      <w:r>
        <w:rPr>
          <w:rFonts w:ascii="Times New Roman"/>
        </w:rPr>
        <w:t>的功能定位和水质保护目标，针对农村生活污染、地表径流污染、农业面源污染、内源污染等问题，制定点源污染治理措施和面源生态修复措施。</w:t>
      </w:r>
    </w:p>
    <w:p w14:paraId="39B350C2">
      <w:pPr>
        <w:pageBreakBefore w:val="0"/>
        <w:widowControl w:val="0"/>
        <w:kinsoku/>
        <w:bidi w:val="0"/>
        <w:spacing w:beforeAutospacing="0" w:afterAutospacing="0"/>
        <w:ind w:left="0" w:firstLine="482"/>
        <w:rPr>
          <w:rFonts w:ascii="Times New Roman"/>
          <w:sz w:val="32"/>
          <w:szCs w:val="32"/>
        </w:rPr>
      </w:pPr>
      <w:r>
        <w:rPr>
          <w:rFonts w:ascii="Times New Roman"/>
          <w:b/>
        </w:rPr>
        <w:t>常规</w:t>
      </w:r>
      <w:r>
        <w:rPr>
          <w:rFonts w:hint="eastAsia" w:ascii="Times New Roman"/>
          <w:b/>
          <w:lang w:val="en-US" w:eastAsia="zh-CN"/>
        </w:rPr>
        <w:t>监测</w:t>
      </w:r>
      <w:r>
        <w:rPr>
          <w:rFonts w:ascii="Times New Roman"/>
          <w:b/>
        </w:rPr>
        <w:t>与长效管理相结合。</w:t>
      </w:r>
      <w:r>
        <w:rPr>
          <w:rFonts w:ascii="Times New Roman"/>
        </w:rPr>
        <w:t>根据国家和地方对集中式饮用水水源地水质监测要求和水源地环境保护要求，建立集中式饮用水水源地常规监测制度和集中式饮用水水源地环境保护长效管理机制。</w:t>
      </w:r>
    </w:p>
    <w:p w14:paraId="3B746031">
      <w:pPr>
        <w:pStyle w:val="11"/>
        <w:pageBreakBefore w:val="0"/>
        <w:widowControl w:val="0"/>
        <w:kinsoku/>
        <w:bidi w:val="0"/>
        <w:spacing w:before="0" w:beforeAutospacing="0" w:after="0" w:afterAutospacing="0"/>
        <w:ind w:left="0"/>
      </w:pPr>
      <w:bookmarkStart w:id="18" w:name="_Toc19133"/>
      <w:bookmarkStart w:id="19" w:name="_Toc38391112"/>
      <w:bookmarkStart w:id="20" w:name="_Toc43925447"/>
      <w:r>
        <w:t>方案时限和范围</w:t>
      </w:r>
      <w:bookmarkEnd w:id="18"/>
      <w:bookmarkEnd w:id="19"/>
      <w:bookmarkEnd w:id="20"/>
    </w:p>
    <w:p w14:paraId="6E4C3DFF">
      <w:pPr>
        <w:pStyle w:val="10"/>
        <w:pageBreakBefore w:val="0"/>
        <w:widowControl w:val="0"/>
        <w:kinsoku/>
        <w:bidi w:val="0"/>
        <w:spacing w:before="0" w:beforeAutospacing="0" w:after="0" w:afterAutospacing="0"/>
        <w:ind w:left="0"/>
      </w:pPr>
      <w:bookmarkStart w:id="21" w:name="_Toc38391113"/>
      <w:bookmarkStart w:id="22" w:name="_Toc13576"/>
      <w:bookmarkStart w:id="23" w:name="_Toc43925448"/>
      <w:r>
        <w:t>方案时限</w:t>
      </w:r>
      <w:bookmarkEnd w:id="21"/>
      <w:bookmarkEnd w:id="22"/>
      <w:bookmarkEnd w:id="23"/>
    </w:p>
    <w:p w14:paraId="4D1881F1">
      <w:pPr>
        <w:pageBreakBefore w:val="0"/>
        <w:widowControl w:val="0"/>
        <w:kinsoku/>
        <w:bidi w:val="0"/>
        <w:spacing w:beforeAutospacing="0" w:afterAutospacing="0"/>
        <w:ind w:left="0" w:firstLine="480"/>
        <w:rPr>
          <w:rFonts w:ascii="Times New Roman"/>
        </w:rPr>
      </w:pPr>
      <w:r>
        <w:rPr>
          <w:rFonts w:ascii="Times New Roman"/>
        </w:rPr>
        <w:t>实施基准年为202</w:t>
      </w:r>
      <w:r>
        <w:rPr>
          <w:rFonts w:hint="eastAsia" w:ascii="Times New Roman"/>
          <w:lang w:val="en-US" w:eastAsia="zh-CN"/>
        </w:rPr>
        <w:t>3</w:t>
      </w:r>
      <w:r>
        <w:rPr>
          <w:rFonts w:ascii="Times New Roman"/>
        </w:rPr>
        <w:t>年，实施年限为</w:t>
      </w:r>
      <w:r>
        <w:rPr>
          <w:rFonts w:hint="eastAsia" w:ascii="Times New Roman"/>
          <w:lang w:val="en-US" w:eastAsia="zh-CN"/>
        </w:rPr>
        <w:t>2023</w:t>
      </w:r>
      <w:r>
        <w:rPr>
          <w:rFonts w:ascii="Times New Roman"/>
        </w:rPr>
        <w:t>年。</w:t>
      </w:r>
    </w:p>
    <w:p w14:paraId="3F7C7FED">
      <w:pPr>
        <w:pStyle w:val="10"/>
        <w:pageBreakBefore w:val="0"/>
        <w:widowControl w:val="0"/>
        <w:kinsoku/>
        <w:bidi w:val="0"/>
        <w:spacing w:before="0" w:beforeAutospacing="0" w:after="0" w:afterAutospacing="0"/>
        <w:ind w:left="0"/>
      </w:pPr>
      <w:bookmarkStart w:id="24" w:name="_Toc4959"/>
      <w:bookmarkStart w:id="25" w:name="_Toc38391114"/>
      <w:bookmarkStart w:id="26" w:name="_Toc43925449"/>
      <w:r>
        <w:t>方案实施范围</w:t>
      </w:r>
      <w:bookmarkEnd w:id="24"/>
      <w:bookmarkEnd w:id="25"/>
      <w:bookmarkEnd w:id="26"/>
    </w:p>
    <w:p w14:paraId="6ABE882B">
      <w:pPr>
        <w:pageBreakBefore w:val="0"/>
        <w:widowControl w:val="0"/>
        <w:kinsoku/>
        <w:bidi w:val="0"/>
        <w:spacing w:beforeAutospacing="0" w:afterAutospacing="0"/>
        <w:ind w:left="0" w:firstLine="480"/>
      </w:pPr>
      <w:r>
        <w:rPr>
          <w:rFonts w:ascii="Times New Roman"/>
        </w:rPr>
        <w:t>实施范围为</w:t>
      </w:r>
      <w:r>
        <w:rPr>
          <w:rFonts w:hint="eastAsia" w:ascii="Times New Roman"/>
          <w:lang w:eastAsia="zh-CN"/>
        </w:rPr>
        <w:t>黄石镇铁炉沟集中式饮用水水源地</w:t>
      </w:r>
      <w:r>
        <w:rPr>
          <w:rFonts w:hint="eastAsia" w:ascii="Times New Roman"/>
        </w:rPr>
        <w:t>附近500m范围</w:t>
      </w:r>
      <w:r>
        <w:rPr>
          <w:rFonts w:ascii="Times New Roman"/>
        </w:rPr>
        <w:t>。</w:t>
      </w:r>
    </w:p>
    <w:p w14:paraId="6DBCD978">
      <w:pPr>
        <w:pStyle w:val="11"/>
        <w:pageBreakBefore w:val="0"/>
        <w:widowControl w:val="0"/>
        <w:kinsoku/>
        <w:bidi w:val="0"/>
        <w:spacing w:before="0" w:beforeAutospacing="0" w:after="0" w:afterAutospacing="0"/>
        <w:ind w:left="0"/>
      </w:pPr>
      <w:bookmarkStart w:id="27" w:name="_Toc43925450"/>
      <w:bookmarkStart w:id="28" w:name="_Toc32290"/>
      <w:bookmarkStart w:id="29" w:name="_Toc38391115"/>
      <w:r>
        <w:t>预期目标</w:t>
      </w:r>
      <w:bookmarkEnd w:id="27"/>
      <w:bookmarkEnd w:id="28"/>
      <w:bookmarkEnd w:id="29"/>
    </w:p>
    <w:p w14:paraId="34B9D4EF">
      <w:pPr>
        <w:pStyle w:val="10"/>
        <w:pageBreakBefore w:val="0"/>
        <w:widowControl w:val="0"/>
        <w:kinsoku/>
        <w:bidi w:val="0"/>
        <w:spacing w:before="0" w:beforeAutospacing="0" w:after="0" w:afterAutospacing="0"/>
        <w:ind w:left="0"/>
      </w:pPr>
      <w:bookmarkStart w:id="30" w:name="_Toc43925451"/>
      <w:bookmarkStart w:id="31" w:name="_Toc38391116"/>
      <w:bookmarkStart w:id="32" w:name="_Toc21559"/>
      <w:r>
        <w:t>总体目标</w:t>
      </w:r>
      <w:bookmarkEnd w:id="30"/>
      <w:bookmarkEnd w:id="31"/>
      <w:bookmarkEnd w:id="32"/>
    </w:p>
    <w:p w14:paraId="2A32F9BC">
      <w:pPr>
        <w:pageBreakBefore w:val="0"/>
        <w:widowControl w:val="0"/>
        <w:kinsoku/>
        <w:bidi w:val="0"/>
        <w:spacing w:beforeAutospacing="0" w:afterAutospacing="0"/>
        <w:ind w:left="0" w:firstLine="480"/>
        <w:rPr>
          <w:rFonts w:ascii="Times New Roman"/>
        </w:rPr>
      </w:pPr>
      <w:r>
        <w:rPr>
          <w:rFonts w:ascii="Times New Roman"/>
        </w:rPr>
        <w:t>到</w:t>
      </w:r>
      <w:r>
        <w:rPr>
          <w:rFonts w:hint="eastAsia" w:ascii="Times New Roman"/>
          <w:lang w:val="en-US" w:eastAsia="zh-CN"/>
        </w:rPr>
        <w:t>2023</w:t>
      </w:r>
      <w:r>
        <w:rPr>
          <w:rFonts w:ascii="Times New Roman"/>
        </w:rPr>
        <w:t>年底，全面</w:t>
      </w:r>
      <w:r>
        <w:rPr>
          <w:rFonts w:hint="eastAsia" w:ascii="Times New Roman"/>
          <w:lang w:val="en-US" w:eastAsia="zh-CN"/>
        </w:rPr>
        <w:t>维护</w:t>
      </w:r>
      <w:r>
        <w:rPr>
          <w:rFonts w:hint="eastAsia" w:ascii="Times New Roman"/>
          <w:lang w:eastAsia="zh-CN"/>
        </w:rPr>
        <w:t>黄石镇铁炉沟集中式饮用水水源地</w:t>
      </w:r>
      <w:r>
        <w:rPr>
          <w:rFonts w:ascii="Times New Roman"/>
        </w:rPr>
        <w:t>饮用水水源环境质量状况，</w:t>
      </w:r>
      <w:r>
        <w:rPr>
          <w:rFonts w:hint="eastAsia" w:ascii="Times New Roman"/>
        </w:rPr>
        <w:t>水源</w:t>
      </w:r>
      <w:r>
        <w:rPr>
          <w:rFonts w:ascii="Times New Roman"/>
        </w:rPr>
        <w:t>周边主要污染源得到有效治理，</w:t>
      </w:r>
      <w:r>
        <w:rPr>
          <w:rFonts w:hint="eastAsia" w:ascii="Times New Roman"/>
        </w:rPr>
        <w:t>水</w:t>
      </w:r>
      <w:r>
        <w:rPr>
          <w:rFonts w:ascii="Times New Roman"/>
        </w:rPr>
        <w:t>生态系统更加健康，水质进一步加强，饮用水源安全得到保障，可持续发展长效机制逐渐建立，满足群众对水源水质安全的需求。</w:t>
      </w:r>
    </w:p>
    <w:p w14:paraId="461C5657">
      <w:pPr>
        <w:pStyle w:val="10"/>
        <w:pageBreakBefore w:val="0"/>
        <w:widowControl w:val="0"/>
        <w:kinsoku/>
        <w:bidi w:val="0"/>
        <w:spacing w:before="0" w:beforeAutospacing="0" w:after="0" w:afterAutospacing="0"/>
        <w:ind w:left="0"/>
      </w:pPr>
      <w:bookmarkStart w:id="33" w:name="_Toc38391117"/>
      <w:bookmarkStart w:id="34" w:name="_Toc43925452"/>
      <w:bookmarkStart w:id="35" w:name="_Toc22478"/>
      <w:r>
        <w:t>环境质量目标</w:t>
      </w:r>
      <w:bookmarkEnd w:id="33"/>
      <w:bookmarkEnd w:id="34"/>
      <w:bookmarkEnd w:id="35"/>
    </w:p>
    <w:p w14:paraId="4B5E2012">
      <w:pPr>
        <w:pageBreakBefore w:val="0"/>
        <w:widowControl w:val="0"/>
        <w:kinsoku/>
        <w:bidi w:val="0"/>
        <w:spacing w:beforeAutospacing="0" w:afterAutospacing="0"/>
        <w:ind w:left="0" w:firstLine="480"/>
        <w:rPr>
          <w:rFonts w:hint="eastAsia" w:ascii="Times New Roman" w:hAnsi="Times New Roman" w:eastAsia="宋体" w:cs="Times New Roman"/>
          <w:lang w:eastAsia="zh-CN"/>
        </w:rPr>
      </w:pPr>
      <w:r>
        <w:rPr>
          <w:rFonts w:hint="eastAsia" w:ascii="Times New Roman"/>
          <w:lang w:eastAsia="zh-CN"/>
        </w:rPr>
        <w:t>黄石镇铁炉沟集中式饮用水水源地</w:t>
      </w:r>
      <w:r>
        <w:rPr>
          <w:rFonts w:ascii="Times New Roman"/>
        </w:rPr>
        <w:t>水质稳定达到</w:t>
      </w:r>
      <w:r>
        <w:rPr>
          <w:rFonts w:hint="eastAsia" w:ascii="Times New Roman" w:hAnsi="Times New Roman" w:eastAsia="宋体" w:cs="Times New Roman"/>
          <w:lang w:eastAsia="zh-CN"/>
        </w:rPr>
        <w:t>《地</w:t>
      </w:r>
      <w:r>
        <w:rPr>
          <w:rFonts w:hint="eastAsia" w:ascii="Times New Roman" w:hAnsi="Times New Roman" w:eastAsia="宋体" w:cs="Times New Roman"/>
          <w:lang w:val="en-US" w:eastAsia="zh-CN"/>
        </w:rPr>
        <w:t>表</w:t>
      </w:r>
      <w:r>
        <w:rPr>
          <w:rFonts w:hint="eastAsia" w:ascii="Times New Roman" w:hAnsi="Times New Roman" w:eastAsia="宋体" w:cs="Times New Roman"/>
          <w:lang w:eastAsia="zh-CN"/>
        </w:rPr>
        <w:t>水</w:t>
      </w:r>
      <w:r>
        <w:rPr>
          <w:rFonts w:hint="eastAsia" w:ascii="Times New Roman" w:hAnsi="Times New Roman" w:eastAsia="宋体" w:cs="Times New Roman"/>
          <w:lang w:val="en-US" w:eastAsia="zh-CN"/>
        </w:rPr>
        <w:t>环境</w:t>
      </w:r>
      <w:r>
        <w:rPr>
          <w:rFonts w:hint="eastAsia" w:ascii="Times New Roman" w:hAnsi="Times New Roman" w:eastAsia="宋体" w:cs="Times New Roman"/>
          <w:lang w:eastAsia="zh-CN"/>
        </w:rPr>
        <w:t xml:space="preserve">质量标准》（GB </w:t>
      </w:r>
      <w:r>
        <w:rPr>
          <w:rFonts w:hint="eastAsia" w:ascii="Times New Roman" w:hAnsi="Times New Roman" w:eastAsia="宋体" w:cs="Times New Roman"/>
          <w:lang w:val="en-US" w:eastAsia="zh-CN"/>
        </w:rPr>
        <w:t>3838</w:t>
      </w:r>
      <w:r>
        <w:rPr>
          <w:rFonts w:hint="eastAsia" w:ascii="Times New Roman" w:hAnsi="Times New Roman" w:eastAsia="宋体" w:cs="Times New Roman"/>
          <w:lang w:eastAsia="zh-CN"/>
        </w:rPr>
        <w:t>-20</w:t>
      </w:r>
      <w:r>
        <w:rPr>
          <w:rFonts w:hint="eastAsia" w:ascii="Times New Roman" w:hAnsi="Times New Roman" w:eastAsia="宋体" w:cs="Times New Roman"/>
          <w:lang w:val="en-US" w:eastAsia="zh-CN"/>
        </w:rPr>
        <w:t>02</w:t>
      </w:r>
      <w:r>
        <w:rPr>
          <w:rFonts w:hint="eastAsia" w:ascii="Times New Roman" w:hAnsi="Times New Roman" w:eastAsia="宋体" w:cs="Times New Roman"/>
          <w:lang w:eastAsia="zh-CN"/>
        </w:rPr>
        <w:t>）》Ⅲ类标准</w:t>
      </w:r>
      <w:r>
        <w:rPr>
          <w:rFonts w:hint="eastAsia" w:ascii="Times New Roman" w:cs="Times New Roman"/>
          <w:lang w:eastAsia="zh-CN"/>
        </w:rPr>
        <w:t>。</w:t>
      </w:r>
    </w:p>
    <w:p w14:paraId="566BD4B8">
      <w:pPr>
        <w:pStyle w:val="11"/>
        <w:pageBreakBefore w:val="0"/>
        <w:widowControl w:val="0"/>
        <w:kinsoku/>
        <w:bidi w:val="0"/>
        <w:spacing w:before="0" w:beforeAutospacing="0" w:after="0" w:afterAutospacing="0"/>
        <w:ind w:left="0"/>
      </w:pPr>
      <w:bookmarkStart w:id="36" w:name="_Toc8371"/>
      <w:bookmarkStart w:id="37" w:name="_Toc43925453"/>
      <w:bookmarkStart w:id="38" w:name="_Toc38391118"/>
      <w:r>
        <w:t>技术路线</w:t>
      </w:r>
      <w:bookmarkEnd w:id="36"/>
      <w:bookmarkEnd w:id="37"/>
      <w:bookmarkEnd w:id="38"/>
    </w:p>
    <w:p w14:paraId="2467DE02">
      <w:pPr>
        <w:pageBreakBefore w:val="0"/>
        <w:widowControl w:val="0"/>
        <w:kinsoku/>
        <w:bidi w:val="0"/>
        <w:spacing w:beforeAutospacing="0" w:afterAutospacing="0"/>
        <w:ind w:left="0" w:firstLine="480"/>
        <w:rPr>
          <w:rFonts w:ascii="Times New Roman"/>
          <w:color w:val="FF0000"/>
        </w:rPr>
      </w:pPr>
      <w:r>
        <w:rPr>
          <w:rFonts w:ascii="Times New Roman"/>
        </w:rPr>
        <w:t>在收集整理</w:t>
      </w:r>
      <w:r>
        <w:rPr>
          <w:rFonts w:hint="eastAsia" w:ascii="Times New Roman"/>
          <w:lang w:eastAsia="zh-CN"/>
        </w:rPr>
        <w:t>黄石镇铁炉沟集中式饮用水水源地</w:t>
      </w:r>
      <w:r>
        <w:rPr>
          <w:rFonts w:ascii="Times New Roman"/>
        </w:rPr>
        <w:t>所处水系、社会经济状况、污水管网建设、污染治理、水源地管理、水源地监测等资料的基础上，</w:t>
      </w:r>
      <w:r>
        <w:rPr>
          <w:rFonts w:hint="eastAsia" w:ascii="Times New Roman" w:hAnsi="Times New Roman" w:eastAsia="宋体" w:cs="Times New Roman"/>
          <w:lang w:eastAsia="zh-CN"/>
        </w:rPr>
        <w:t>开展</w:t>
      </w:r>
      <w:r>
        <w:rPr>
          <w:rFonts w:hint="eastAsia" w:ascii="Times New Roman" w:cs="Times New Roman"/>
          <w:lang w:eastAsia="zh-CN"/>
        </w:rPr>
        <w:t>黄石</w:t>
      </w:r>
      <w:r>
        <w:rPr>
          <w:rFonts w:hint="eastAsia" w:ascii="Times New Roman" w:hAnsi="Times New Roman" w:eastAsia="宋体" w:cs="Times New Roman"/>
          <w:lang w:eastAsia="zh-CN"/>
        </w:rPr>
        <w:t>镇</w:t>
      </w:r>
      <w:r>
        <w:rPr>
          <w:rFonts w:hint="eastAsia" w:ascii="Times New Roman" w:cs="Times New Roman"/>
          <w:lang w:eastAsia="zh-CN"/>
        </w:rPr>
        <w:t>铁炉沟集中式饮用水水源地</w:t>
      </w:r>
      <w:r>
        <w:rPr>
          <w:rFonts w:hint="eastAsia" w:ascii="Times New Roman" w:hAnsi="Times New Roman" w:eastAsia="宋体" w:cs="Times New Roman"/>
          <w:lang w:eastAsia="zh-CN"/>
        </w:rPr>
        <w:t>现场调查，摸清</w:t>
      </w:r>
      <w:r>
        <w:rPr>
          <w:rFonts w:hint="eastAsia" w:ascii="Times New Roman" w:cs="Times New Roman"/>
          <w:lang w:eastAsia="zh-CN"/>
        </w:rPr>
        <w:t>黄石</w:t>
      </w:r>
      <w:r>
        <w:rPr>
          <w:rFonts w:hint="eastAsia" w:ascii="Times New Roman" w:hAnsi="Times New Roman" w:eastAsia="宋体" w:cs="Times New Roman"/>
          <w:lang w:eastAsia="zh-CN"/>
        </w:rPr>
        <w:t>镇</w:t>
      </w:r>
      <w:r>
        <w:rPr>
          <w:rFonts w:hint="eastAsia" w:ascii="Times New Roman" w:cs="Times New Roman"/>
          <w:lang w:eastAsia="zh-CN"/>
        </w:rPr>
        <w:t>铁炉沟集中式饮用水水源地</w:t>
      </w:r>
      <w:r>
        <w:rPr>
          <w:rFonts w:hint="eastAsia" w:ascii="Times New Roman" w:hAnsi="Times New Roman" w:eastAsia="宋体" w:cs="Times New Roman"/>
          <w:lang w:eastAsia="zh-CN"/>
        </w:rPr>
        <w:t>内污染源情况，剖析</w:t>
      </w:r>
      <w:r>
        <w:rPr>
          <w:rFonts w:hint="eastAsia" w:ascii="Times New Roman" w:cs="Times New Roman"/>
          <w:lang w:eastAsia="zh-CN"/>
        </w:rPr>
        <w:t>黄石</w:t>
      </w:r>
      <w:r>
        <w:rPr>
          <w:rFonts w:hint="eastAsia" w:ascii="Times New Roman" w:hAnsi="Times New Roman" w:eastAsia="宋体" w:cs="Times New Roman"/>
          <w:lang w:eastAsia="zh-CN"/>
        </w:rPr>
        <w:t>镇</w:t>
      </w:r>
      <w:r>
        <w:rPr>
          <w:rFonts w:hint="eastAsia" w:ascii="Times New Roman" w:cs="Times New Roman"/>
          <w:lang w:eastAsia="zh-CN"/>
        </w:rPr>
        <w:t>铁炉沟集中式饮用水水源地</w:t>
      </w:r>
      <w:r>
        <w:rPr>
          <w:rFonts w:hint="eastAsia" w:ascii="Times New Roman" w:hAnsi="Times New Roman" w:eastAsia="宋体" w:cs="Times New Roman"/>
          <w:lang w:eastAsia="zh-CN"/>
        </w:rPr>
        <w:t>污染特征，提出水质改善面临的主要问题及原因。根据</w:t>
      </w:r>
      <w:r>
        <w:rPr>
          <w:rFonts w:hint="eastAsia" w:ascii="Times New Roman" w:cs="Times New Roman"/>
          <w:lang w:eastAsia="zh-CN"/>
        </w:rPr>
        <w:t>黄石</w:t>
      </w:r>
      <w:r>
        <w:rPr>
          <w:rFonts w:hint="eastAsia" w:ascii="Times New Roman" w:hAnsi="Times New Roman" w:eastAsia="宋体" w:cs="Times New Roman"/>
          <w:lang w:eastAsia="zh-CN"/>
        </w:rPr>
        <w:t>镇</w:t>
      </w:r>
      <w:r>
        <w:rPr>
          <w:rFonts w:hint="eastAsia" w:ascii="Times New Roman" w:cs="Times New Roman"/>
          <w:lang w:eastAsia="zh-CN"/>
        </w:rPr>
        <w:t>铁炉沟集中式饮用水水源地</w:t>
      </w:r>
      <w:r>
        <w:rPr>
          <w:rFonts w:hint="eastAsia" w:ascii="Times New Roman" w:hAnsi="Times New Roman" w:eastAsia="宋体" w:cs="Times New Roman"/>
          <w:lang w:eastAsia="zh-CN"/>
        </w:rPr>
        <w:t>的功能要求，结合地</w:t>
      </w:r>
      <w:r>
        <w:rPr>
          <w:rFonts w:hint="eastAsia" w:ascii="Times New Roman" w:hAnsi="Times New Roman" w:eastAsia="宋体" w:cs="Times New Roman"/>
          <w:lang w:val="en-US" w:eastAsia="zh-CN"/>
        </w:rPr>
        <w:t>表</w:t>
      </w:r>
      <w:r>
        <w:rPr>
          <w:rFonts w:hint="eastAsia" w:ascii="Times New Roman" w:hAnsi="Times New Roman" w:eastAsia="宋体" w:cs="Times New Roman"/>
          <w:lang w:eastAsia="zh-CN"/>
        </w:rPr>
        <w:t>水保护目标，制定</w:t>
      </w:r>
      <w:r>
        <w:rPr>
          <w:rFonts w:hint="eastAsia" w:ascii="Times New Roman" w:cs="Times New Roman"/>
          <w:lang w:eastAsia="zh-CN"/>
        </w:rPr>
        <w:t>黄石</w:t>
      </w:r>
      <w:r>
        <w:rPr>
          <w:rFonts w:hint="eastAsia" w:ascii="Times New Roman" w:hAnsi="Times New Roman" w:eastAsia="宋体" w:cs="Times New Roman"/>
          <w:lang w:eastAsia="zh-CN"/>
        </w:rPr>
        <w:t>镇</w:t>
      </w:r>
      <w:r>
        <w:rPr>
          <w:rFonts w:hint="eastAsia" w:ascii="Times New Roman" w:cs="Times New Roman"/>
          <w:lang w:eastAsia="zh-CN"/>
        </w:rPr>
        <w:t>铁炉沟集中式饮用水水源地</w:t>
      </w:r>
      <w:r>
        <w:rPr>
          <w:rFonts w:hint="eastAsia" w:ascii="Times New Roman" w:hAnsi="Times New Roman" w:eastAsia="宋体" w:cs="Times New Roman"/>
          <w:lang w:eastAsia="zh-CN"/>
        </w:rPr>
        <w:t>水质改善方案。最后，</w:t>
      </w:r>
      <w:r>
        <w:rPr>
          <w:rFonts w:ascii="Times New Roman"/>
        </w:rPr>
        <w:t>以完成污染物削减任务为主线，</w:t>
      </w:r>
      <w:bookmarkStart w:id="39" w:name="_Hlk44228962"/>
      <w:r>
        <w:rPr>
          <w:rFonts w:hint="eastAsia" w:ascii="Times New Roman"/>
        </w:rPr>
        <w:t>提</w:t>
      </w:r>
      <w:r>
        <w:rPr>
          <w:rFonts w:ascii="Times New Roman"/>
        </w:rPr>
        <w:t>出</w:t>
      </w:r>
      <w:r>
        <w:rPr>
          <w:rFonts w:hint="eastAsia" w:ascii="Times New Roman"/>
          <w:lang w:eastAsia="zh-CN"/>
        </w:rPr>
        <w:t>黄石镇铁炉沟集中式饮用水水源地</w:t>
      </w:r>
      <w:r>
        <w:rPr>
          <w:rFonts w:ascii="Times New Roman"/>
        </w:rPr>
        <w:t>水质改善的具体</w:t>
      </w:r>
      <w:r>
        <w:rPr>
          <w:rFonts w:hint="eastAsia" w:ascii="Times New Roman"/>
          <w:lang w:val="en-US" w:eastAsia="zh-CN"/>
        </w:rPr>
        <w:t>整治</w:t>
      </w:r>
      <w:r>
        <w:rPr>
          <w:rFonts w:ascii="Times New Roman"/>
        </w:rPr>
        <w:t>措施，形成</w:t>
      </w:r>
      <w:r>
        <w:rPr>
          <w:rFonts w:hint="eastAsia" w:ascii="Times New Roman"/>
          <w:lang w:eastAsia="zh-CN"/>
        </w:rPr>
        <w:t>黄石镇铁炉沟集中式饮用水水源地</w:t>
      </w:r>
      <w:r>
        <w:rPr>
          <w:rFonts w:hint="eastAsia" w:ascii="Times New Roman"/>
        </w:rPr>
        <w:t>达标整治方案</w:t>
      </w:r>
      <w:bookmarkEnd w:id="39"/>
      <w:r>
        <w:rPr>
          <w:rFonts w:ascii="Times New Roman"/>
        </w:rPr>
        <w:t>。</w:t>
      </w:r>
    </w:p>
    <w:p w14:paraId="1AB239E8">
      <w:pPr>
        <w:pStyle w:val="9"/>
        <w:pageBreakBefore w:val="0"/>
        <w:widowControl w:val="0"/>
        <w:kinsoku/>
        <w:bidi w:val="0"/>
        <w:spacing w:before="0" w:beforeAutospacing="0" w:after="0" w:afterAutospacing="0"/>
        <w:ind w:left="0"/>
      </w:pPr>
      <w:bookmarkStart w:id="40" w:name="_Toc43925454"/>
      <w:bookmarkStart w:id="41" w:name="_Toc23416"/>
      <w:bookmarkStart w:id="42" w:name="_Toc38391119"/>
      <w:r>
        <w:rPr>
          <w:rFonts w:hint="eastAsia"/>
          <w:lang w:eastAsia="zh-CN"/>
        </w:rPr>
        <w:t>黄石镇铁炉沟黄石水厂水源地</w:t>
      </w:r>
      <w:r>
        <w:t>概况及社会经济状况调查</w:t>
      </w:r>
      <w:bookmarkEnd w:id="40"/>
      <w:bookmarkEnd w:id="41"/>
      <w:bookmarkEnd w:id="42"/>
    </w:p>
    <w:p w14:paraId="7C47B5F9">
      <w:pPr>
        <w:pStyle w:val="11"/>
        <w:pageBreakBefore w:val="0"/>
        <w:widowControl w:val="0"/>
        <w:kinsoku/>
        <w:bidi w:val="0"/>
        <w:spacing w:before="0" w:beforeAutospacing="0" w:after="0" w:afterAutospacing="0"/>
        <w:ind w:left="0"/>
      </w:pPr>
      <w:bookmarkStart w:id="43" w:name="_Toc31102"/>
      <w:bookmarkStart w:id="44" w:name="_Toc43925455"/>
      <w:bookmarkStart w:id="45" w:name="_Toc38391120"/>
      <w:r>
        <w:rPr>
          <w:rFonts w:hint="eastAsia"/>
          <w:lang w:val="en-US" w:eastAsia="zh-CN"/>
        </w:rPr>
        <w:t>黄石水厂</w:t>
      </w:r>
      <w:r>
        <w:t>基本情况</w:t>
      </w:r>
      <w:bookmarkEnd w:id="43"/>
      <w:bookmarkEnd w:id="44"/>
      <w:bookmarkEnd w:id="45"/>
    </w:p>
    <w:p w14:paraId="05FCB683">
      <w:pPr>
        <w:pageBreakBefore w:val="0"/>
        <w:widowControl w:val="0"/>
        <w:kinsoku/>
        <w:bidi w:val="0"/>
        <w:spacing w:beforeAutospacing="0" w:afterAutospacing="0"/>
        <w:ind w:left="0" w:firstLine="480"/>
        <w:jc w:val="left"/>
        <w:rPr>
          <w:rFonts w:hint="eastAsia" w:ascii="Times New Roman"/>
          <w:szCs w:val="28"/>
          <w:lang w:val="en-US" w:eastAsia="zh-CN"/>
        </w:rPr>
      </w:pPr>
      <w:r>
        <w:rPr>
          <w:rFonts w:hint="eastAsia" w:ascii="Times New Roman"/>
          <w:szCs w:val="28"/>
          <w:lang w:eastAsia="zh-CN"/>
        </w:rPr>
        <w:t>黄石水厂</w:t>
      </w:r>
      <w:r>
        <w:rPr>
          <w:rFonts w:hint="eastAsia" w:ascii="Times New Roman"/>
          <w:szCs w:val="28"/>
        </w:rPr>
        <w:t>位于</w:t>
      </w:r>
      <w:r>
        <w:rPr>
          <w:rFonts w:hint="eastAsia" w:ascii="Times New Roman"/>
          <w:szCs w:val="28"/>
          <w:lang w:eastAsia="zh-CN"/>
        </w:rPr>
        <w:t>重庆市</w:t>
      </w:r>
      <w:r>
        <w:rPr>
          <w:rFonts w:hint="eastAsia" w:ascii="Times New Roman"/>
          <w:szCs w:val="28"/>
          <w:lang w:val="en-US" w:eastAsia="zh-CN"/>
        </w:rPr>
        <w:t>云阳县黄石镇平安寨社区8组，位</w:t>
      </w:r>
      <w:r>
        <w:rPr>
          <w:rFonts w:hint="eastAsia" w:ascii="Times New Roman"/>
          <w:szCs w:val="28"/>
          <w:lang w:eastAsia="zh-CN"/>
        </w:rPr>
        <w:t>于长江北岸</w:t>
      </w:r>
      <w:r>
        <w:rPr>
          <w:rFonts w:hint="eastAsia" w:ascii="Times New Roman"/>
          <w:szCs w:val="28"/>
          <w:lang w:val="en-US" w:eastAsia="zh-CN"/>
        </w:rPr>
        <w:t>小江流域，是一座</w:t>
      </w:r>
      <w:r>
        <w:rPr>
          <w:rFonts w:hint="eastAsia" w:ascii="Times New Roman"/>
          <w:szCs w:val="28"/>
        </w:rPr>
        <w:t>具有乡镇供水、农村</w:t>
      </w:r>
      <w:r>
        <w:rPr>
          <w:rFonts w:hint="eastAsia" w:ascii="Times New Roman"/>
          <w:szCs w:val="28"/>
          <w:lang w:eastAsia="zh-CN"/>
        </w:rPr>
        <w:t>人畜饮水</w:t>
      </w:r>
      <w:r>
        <w:rPr>
          <w:rFonts w:hint="eastAsia" w:ascii="Times New Roman"/>
          <w:szCs w:val="28"/>
        </w:rPr>
        <w:t>等综合利用的</w:t>
      </w:r>
      <w:r>
        <w:rPr>
          <w:rFonts w:hint="eastAsia" w:ascii="Times New Roman"/>
          <w:szCs w:val="28"/>
          <w:lang w:eastAsia="zh-CN"/>
        </w:rPr>
        <w:t>水厂</w:t>
      </w:r>
      <w:r>
        <w:rPr>
          <w:rFonts w:hint="eastAsia" w:ascii="Times New Roman"/>
          <w:szCs w:val="28"/>
        </w:rPr>
        <w:t>。</w:t>
      </w:r>
      <w:r>
        <w:rPr>
          <w:rFonts w:hint="eastAsia" w:ascii="Times New Roman"/>
          <w:szCs w:val="28"/>
          <w:lang w:val="en-US" w:eastAsia="zh-CN"/>
        </w:rPr>
        <w:t>集于黄石集镇中心</w:t>
      </w:r>
      <w:r>
        <w:rPr>
          <w:rFonts w:hint="eastAsia" w:ascii="Times New Roman"/>
          <w:szCs w:val="28"/>
        </w:rPr>
        <w:t>约</w:t>
      </w:r>
      <w:r>
        <w:rPr>
          <w:rFonts w:hint="eastAsia" w:ascii="Times New Roman"/>
          <w:szCs w:val="28"/>
          <w:lang w:val="en-US" w:eastAsia="zh-CN"/>
        </w:rPr>
        <w:t>4</w:t>
      </w:r>
      <w:r>
        <w:rPr>
          <w:rFonts w:hint="eastAsia" w:ascii="Times New Roman"/>
          <w:szCs w:val="28"/>
        </w:rPr>
        <w:t>km，有通往</w:t>
      </w:r>
      <w:r>
        <w:rPr>
          <w:rFonts w:hint="eastAsia" w:ascii="Times New Roman"/>
          <w:szCs w:val="28"/>
          <w:lang w:eastAsia="zh-CN"/>
        </w:rPr>
        <w:t>水厂</w:t>
      </w:r>
      <w:r>
        <w:rPr>
          <w:rFonts w:hint="eastAsia" w:ascii="Times New Roman"/>
          <w:szCs w:val="28"/>
        </w:rPr>
        <w:t>的村</w:t>
      </w:r>
      <w:r>
        <w:rPr>
          <w:rFonts w:hint="eastAsia" w:ascii="Times New Roman"/>
          <w:szCs w:val="28"/>
          <w:lang w:eastAsia="zh-CN"/>
        </w:rPr>
        <w:t>级</w:t>
      </w:r>
      <w:r>
        <w:rPr>
          <w:rFonts w:hint="eastAsia" w:ascii="Times New Roman"/>
          <w:szCs w:val="28"/>
        </w:rPr>
        <w:t>公路。</w:t>
      </w:r>
      <w:r>
        <w:rPr>
          <w:rFonts w:hint="eastAsia" w:ascii="Times New Roman"/>
          <w:szCs w:val="28"/>
          <w:lang w:eastAsia="zh-CN"/>
        </w:rPr>
        <w:t>黄石水厂</w:t>
      </w:r>
      <w:r>
        <w:rPr>
          <w:rFonts w:hint="eastAsia" w:ascii="Times New Roman"/>
          <w:szCs w:val="28"/>
        </w:rPr>
        <w:t>服务人口约</w:t>
      </w:r>
      <w:r>
        <w:rPr>
          <w:rFonts w:hint="eastAsia" w:ascii="Times New Roman"/>
          <w:szCs w:val="28"/>
          <w:lang w:val="en-US" w:eastAsia="zh-CN"/>
        </w:rPr>
        <w:t>10000余</w:t>
      </w:r>
      <w:r>
        <w:rPr>
          <w:rFonts w:hint="eastAsia" w:ascii="Times New Roman"/>
          <w:szCs w:val="28"/>
        </w:rPr>
        <w:t>人，日供水量约</w:t>
      </w:r>
      <w:r>
        <w:rPr>
          <w:rFonts w:hint="eastAsia" w:ascii="Times New Roman"/>
          <w:szCs w:val="28"/>
          <w:lang w:val="en-US" w:eastAsia="zh-CN"/>
        </w:rPr>
        <w:t>1000</w:t>
      </w:r>
      <w:r>
        <w:rPr>
          <w:rFonts w:hint="eastAsia" w:ascii="Times New Roman"/>
          <w:szCs w:val="28"/>
          <w:lang w:eastAsia="zh-CN"/>
        </w:rPr>
        <w:t>吨，</w:t>
      </w:r>
      <w:r>
        <w:rPr>
          <w:rFonts w:hint="eastAsia" w:ascii="Times New Roman"/>
          <w:szCs w:val="28"/>
          <w:lang w:val="en-US" w:eastAsia="zh-CN"/>
        </w:rPr>
        <w:t>能保证我镇集镇居民安全饮水。</w:t>
      </w:r>
    </w:p>
    <w:p w14:paraId="76B95B8B">
      <w:pPr>
        <w:pStyle w:val="11"/>
        <w:pageBreakBefore w:val="0"/>
        <w:widowControl w:val="0"/>
        <w:kinsoku/>
        <w:bidi w:val="0"/>
        <w:spacing w:before="0" w:beforeAutospacing="0" w:after="0" w:afterAutospacing="0"/>
        <w:ind w:left="0"/>
      </w:pPr>
      <w:bookmarkStart w:id="46" w:name="_Toc10779"/>
      <w:bookmarkStart w:id="47" w:name="_Toc43925456"/>
      <w:bookmarkStart w:id="48" w:name="_Toc18527"/>
      <w:bookmarkStart w:id="49" w:name="_Toc38391121"/>
      <w:r>
        <w:t>水系与水资源</w:t>
      </w:r>
      <w:bookmarkEnd w:id="46"/>
      <w:bookmarkEnd w:id="47"/>
      <w:bookmarkEnd w:id="48"/>
      <w:bookmarkEnd w:id="49"/>
    </w:p>
    <w:p w14:paraId="1701FC6B">
      <w:pPr>
        <w:pageBreakBefore w:val="0"/>
        <w:widowControl w:val="0"/>
        <w:kinsoku/>
        <w:bidi w:val="0"/>
        <w:spacing w:beforeAutospacing="0" w:afterAutospacing="0"/>
        <w:ind w:left="0" w:firstLine="480"/>
        <w:rPr>
          <w:rFonts w:hint="eastAsia"/>
          <w:lang w:val="en-US" w:eastAsia="zh-CN"/>
        </w:rPr>
      </w:pPr>
      <w:r>
        <w:rPr>
          <w:rFonts w:ascii="Times New Roman"/>
          <w:szCs w:val="28"/>
        </w:rPr>
        <w:t>小江干流是长江左岸一级支流。小江重庆境内干流长190km（其中</w:t>
      </w:r>
      <w:r>
        <w:rPr>
          <w:rFonts w:hint="eastAsia" w:ascii="Times New Roman"/>
          <w:szCs w:val="28"/>
          <w:lang w:eastAsia="zh-CN"/>
        </w:rPr>
        <w:t>云阳境</w:t>
      </w:r>
      <w:r>
        <w:rPr>
          <w:rFonts w:ascii="Times New Roman"/>
          <w:szCs w:val="28"/>
        </w:rPr>
        <w:t>内</w:t>
      </w:r>
      <w:r>
        <w:rPr>
          <w:rFonts w:hint="eastAsia" w:ascii="Times New Roman"/>
          <w:szCs w:val="28"/>
          <w:lang w:val="en-US" w:eastAsia="zh-CN"/>
        </w:rPr>
        <w:t>50.9</w:t>
      </w:r>
      <w:r>
        <w:rPr>
          <w:rFonts w:ascii="Times New Roman"/>
          <w:szCs w:val="28"/>
        </w:rPr>
        <w:t>km），重庆境内流域面积5019km</w:t>
      </w:r>
      <w:r>
        <w:rPr>
          <w:rFonts w:ascii="Times New Roman"/>
          <w:szCs w:val="28"/>
          <w:vertAlign w:val="superscript"/>
        </w:rPr>
        <w:t>2</w:t>
      </w:r>
      <w:r>
        <w:rPr>
          <w:rFonts w:ascii="Times New Roman"/>
          <w:szCs w:val="28"/>
        </w:rPr>
        <w:t>，河口多年平均流量127.8m</w:t>
      </w:r>
      <w:r>
        <w:rPr>
          <w:rFonts w:ascii="Times New Roman"/>
          <w:szCs w:val="28"/>
          <w:vertAlign w:val="superscript"/>
        </w:rPr>
        <w:t>3</w:t>
      </w:r>
      <w:r>
        <w:rPr>
          <w:rFonts w:ascii="Times New Roman"/>
          <w:szCs w:val="28"/>
        </w:rPr>
        <w:t>/s，其中开州境内流域面积</w:t>
      </w:r>
      <w:r>
        <w:rPr>
          <w:rFonts w:hint="eastAsia" w:ascii="Times New Roman"/>
          <w:szCs w:val="28"/>
          <w:lang w:val="en-US" w:eastAsia="zh-CN"/>
        </w:rPr>
        <w:t>593</w:t>
      </w:r>
      <w:r>
        <w:rPr>
          <w:rFonts w:ascii="Times New Roman"/>
          <w:szCs w:val="28"/>
        </w:rPr>
        <w:t>km</w:t>
      </w:r>
      <w:r>
        <w:rPr>
          <w:rFonts w:ascii="Times New Roman"/>
          <w:szCs w:val="28"/>
          <w:vertAlign w:val="superscript"/>
        </w:rPr>
        <w:t>2</w:t>
      </w:r>
      <w:r>
        <w:rPr>
          <w:rFonts w:ascii="Times New Roman"/>
          <w:szCs w:val="28"/>
        </w:rPr>
        <w:t>。干流上起小江源头</w:t>
      </w:r>
      <w:r>
        <w:rPr>
          <w:rFonts w:hint="eastAsia" w:ascii="Times New Roman"/>
          <w:szCs w:val="28"/>
          <w:lang w:eastAsia="zh-CN"/>
        </w:rPr>
        <w:t>开州区</w:t>
      </w:r>
      <w:r>
        <w:rPr>
          <w:rFonts w:ascii="Times New Roman"/>
          <w:szCs w:val="28"/>
        </w:rPr>
        <w:t>白泉乡关面山，于云阳县双江街道汇入长江</w:t>
      </w:r>
      <w:r>
        <w:rPr>
          <w:rFonts w:hint="eastAsia" w:ascii="Times New Roman"/>
          <w:szCs w:val="28"/>
          <w:lang w:eastAsia="zh-CN"/>
        </w:rPr>
        <w:t>，云阳县境内</w:t>
      </w:r>
      <w:r>
        <w:rPr>
          <w:rFonts w:ascii="Times New Roman"/>
          <w:szCs w:val="28"/>
        </w:rPr>
        <w:t>流经乡镇养鹿镇、渠马镇、高阳镇、黄石镇、人和街道、双江街道</w:t>
      </w:r>
      <w:r>
        <w:rPr>
          <w:rFonts w:hint="eastAsia" w:ascii="Times New Roman"/>
          <w:szCs w:val="28"/>
          <w:lang w:eastAsia="zh-CN"/>
        </w:rPr>
        <w:t>共</w:t>
      </w:r>
      <w:r>
        <w:rPr>
          <w:rFonts w:ascii="Times New Roman"/>
          <w:szCs w:val="28"/>
        </w:rPr>
        <w:t>37个村（社区）。小江水资源、自然资源、土地资源和生物资源等均比较丰富，水能资源理论可开发潜力大，人口分布相对密集，城市化水平较高，经济发展较快，工矿企业较多，农副产品种类齐全。</w:t>
      </w:r>
    </w:p>
    <w:p w14:paraId="69ADCF28">
      <w:pPr>
        <w:pStyle w:val="11"/>
        <w:pageBreakBefore w:val="0"/>
        <w:widowControl w:val="0"/>
        <w:kinsoku/>
        <w:bidi w:val="0"/>
        <w:spacing w:before="0" w:beforeAutospacing="0" w:after="0" w:afterAutospacing="0"/>
        <w:ind w:left="0"/>
      </w:pPr>
      <w:bookmarkStart w:id="50" w:name="_Toc43925457"/>
      <w:bookmarkStart w:id="51" w:name="_Toc38391122"/>
      <w:bookmarkStart w:id="52" w:name="_Toc25874"/>
      <w:r>
        <w:t>社会经济</w:t>
      </w:r>
      <w:bookmarkEnd w:id="50"/>
      <w:bookmarkEnd w:id="51"/>
      <w:r>
        <w:rPr>
          <w:rFonts w:hint="eastAsia"/>
        </w:rPr>
        <w:t>概况</w:t>
      </w:r>
      <w:bookmarkEnd w:id="52"/>
    </w:p>
    <w:p w14:paraId="6FEF62FE">
      <w:pPr>
        <w:pStyle w:val="10"/>
        <w:pageBreakBefore w:val="0"/>
        <w:widowControl w:val="0"/>
        <w:kinsoku/>
        <w:bidi w:val="0"/>
        <w:spacing w:before="0" w:beforeAutospacing="0" w:after="0" w:afterAutospacing="0"/>
        <w:ind w:left="0"/>
      </w:pPr>
      <w:bookmarkStart w:id="53" w:name="_Toc9829"/>
      <w:r>
        <w:rPr>
          <w:rFonts w:hint="eastAsia"/>
          <w:lang w:val="en-US" w:eastAsia="zh-CN"/>
        </w:rPr>
        <w:t>云阳县</w:t>
      </w:r>
      <w:r>
        <w:rPr>
          <w:rFonts w:hint="eastAsia"/>
        </w:rPr>
        <w:t>社会经济概况</w:t>
      </w:r>
      <w:bookmarkEnd w:id="53"/>
    </w:p>
    <w:p w14:paraId="5DDFCECE">
      <w:pPr>
        <w:pageBreakBefore w:val="0"/>
        <w:widowControl w:val="0"/>
        <w:kinsoku/>
        <w:bidi w:val="0"/>
        <w:spacing w:beforeAutospacing="0" w:afterAutospacing="0"/>
        <w:ind w:left="0" w:firstLine="480"/>
        <w:rPr>
          <w:rFonts w:hint="eastAsia" w:ascii="Times New Roman" w:hAnsi="Times New Roman" w:eastAsia="宋体" w:cs="Times New Roman"/>
          <w:szCs w:val="28"/>
        </w:rPr>
      </w:pPr>
      <w:r>
        <w:rPr>
          <w:rFonts w:hint="eastAsia" w:ascii="Times New Roman" w:hAnsi="Times New Roman" w:eastAsia="宋体" w:cs="Times New Roman"/>
          <w:szCs w:val="28"/>
        </w:rPr>
        <w:t>云阳地处重庆东北部、三峡库区腹心，是长江经济带</w:t>
      </w:r>
      <w:r>
        <w:rPr>
          <w:rFonts w:hint="eastAsia" w:ascii="Times New Roman" w:hAnsi="Times New Roman" w:eastAsia="宋体" w:cs="Times New Roman"/>
          <w:szCs w:val="28"/>
          <w:lang w:val="en-US" w:eastAsia="zh-CN"/>
        </w:rPr>
        <w:t>和成渝地区双城经济圈</w:t>
      </w:r>
      <w:r>
        <w:rPr>
          <w:rFonts w:hint="eastAsia" w:ascii="Times New Roman" w:hAnsi="Times New Roman" w:eastAsia="宋体" w:cs="Times New Roman"/>
          <w:szCs w:val="28"/>
        </w:rPr>
        <w:t>重要节点，因“四时多云、山水之阳”而得名</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rPr>
        <w:t>幅员面积3636平方公里，辖42个乡镇（街道），户籍人口</w:t>
      </w:r>
      <w:r>
        <w:rPr>
          <w:rFonts w:hint="eastAsia" w:ascii="Times New Roman" w:hAnsi="Times New Roman" w:eastAsia="宋体" w:cs="Times New Roman"/>
          <w:szCs w:val="28"/>
          <w:lang w:val="en-US" w:eastAsia="zh-CN"/>
        </w:rPr>
        <w:t>133</w:t>
      </w:r>
      <w:r>
        <w:rPr>
          <w:rFonts w:hint="eastAsia" w:ascii="Times New Roman" w:hAnsi="Times New Roman" w:eastAsia="宋体" w:cs="Times New Roman"/>
          <w:szCs w:val="28"/>
        </w:rPr>
        <w:t>万，常住人口</w:t>
      </w:r>
      <w:r>
        <w:rPr>
          <w:rFonts w:hint="eastAsia" w:ascii="Times New Roman" w:hAnsi="Times New Roman" w:eastAsia="宋体" w:cs="Times New Roman"/>
          <w:szCs w:val="28"/>
          <w:lang w:val="en-US" w:eastAsia="zh-CN"/>
        </w:rPr>
        <w:t>93</w:t>
      </w:r>
      <w:r>
        <w:rPr>
          <w:rFonts w:hint="eastAsia" w:ascii="Times New Roman" w:hAnsi="Times New Roman" w:eastAsia="宋体" w:cs="Times New Roman"/>
          <w:szCs w:val="28"/>
        </w:rPr>
        <w:t>万。山清水秀城美业兴文盛，有“万里长江·天生云阳”之美誉。</w:t>
      </w:r>
    </w:p>
    <w:p w14:paraId="171A07BF">
      <w:pPr>
        <w:pageBreakBefore w:val="0"/>
        <w:widowControl w:val="0"/>
        <w:kinsoku/>
        <w:bidi w:val="0"/>
        <w:spacing w:beforeAutospacing="0" w:afterAutospacing="0"/>
        <w:ind w:left="0" w:firstLine="480"/>
        <w:rPr>
          <w:rFonts w:hint="eastAsia" w:ascii="Times New Roman" w:hAnsi="Times New Roman" w:eastAsia="宋体" w:cs="Times New Roman"/>
          <w:szCs w:val="28"/>
        </w:rPr>
      </w:pPr>
      <w:r>
        <w:rPr>
          <w:rFonts w:hint="eastAsia" w:ascii="Times New Roman" w:hAnsi="Times New Roman" w:eastAsia="宋体" w:cs="Times New Roman"/>
          <w:szCs w:val="28"/>
          <w:lang w:val="en-US" w:eastAsia="zh-CN"/>
        </w:rPr>
        <w:t>2022年云阳</w:t>
      </w:r>
      <w:r>
        <w:rPr>
          <w:rFonts w:hint="eastAsia" w:ascii="Times New Roman" w:hAnsi="Times New Roman" w:eastAsia="宋体" w:cs="Times New Roman"/>
          <w:szCs w:val="28"/>
        </w:rPr>
        <w:fldChar w:fldCharType="begin"/>
      </w:r>
      <w:r>
        <w:rPr>
          <w:rFonts w:hint="eastAsia" w:ascii="Times New Roman" w:hAnsi="Times New Roman" w:eastAsia="宋体" w:cs="Times New Roman"/>
          <w:szCs w:val="28"/>
        </w:rPr>
        <w:instrText xml:space="preserve"> HYPERLINK "https://www.cndac.net/lease_sale" \o "独栋独立产权厂房出售/可贷款五成可自由转让" </w:instrText>
      </w:r>
      <w:r>
        <w:rPr>
          <w:rFonts w:hint="eastAsia" w:ascii="Times New Roman" w:hAnsi="Times New Roman" w:eastAsia="宋体" w:cs="Times New Roman"/>
          <w:szCs w:val="28"/>
        </w:rPr>
        <w:fldChar w:fldCharType="separate"/>
      </w:r>
      <w:r>
        <w:rPr>
          <w:rFonts w:hint="eastAsia" w:ascii="Times New Roman" w:hAnsi="Times New Roman" w:eastAsia="宋体" w:cs="Times New Roman"/>
          <w:szCs w:val="28"/>
        </w:rPr>
        <w:t>生产</w:t>
      </w:r>
      <w:r>
        <w:rPr>
          <w:rFonts w:hint="eastAsia" w:ascii="Times New Roman" w:hAnsi="Times New Roman" w:eastAsia="宋体" w:cs="Times New Roman"/>
          <w:szCs w:val="28"/>
        </w:rPr>
        <w:fldChar w:fldCharType="end"/>
      </w:r>
      <w:r>
        <w:rPr>
          <w:rFonts w:hint="eastAsia" w:ascii="Times New Roman" w:hAnsi="Times New Roman" w:eastAsia="宋体" w:cs="Times New Roman"/>
          <w:szCs w:val="28"/>
        </w:rPr>
        <w:t>总值</w:t>
      </w:r>
      <w:r>
        <w:rPr>
          <w:rFonts w:hint="eastAsia" w:ascii="Times New Roman" w:hAnsi="Times New Roman" w:eastAsia="宋体" w:cs="Times New Roman"/>
          <w:szCs w:val="28"/>
          <w:lang w:val="en-US" w:eastAsia="zh-CN"/>
        </w:rPr>
        <w:t>557.7</w:t>
      </w:r>
      <w:r>
        <w:rPr>
          <w:rFonts w:hint="eastAsia" w:ascii="Times New Roman" w:hAnsi="Times New Roman" w:eastAsia="宋体" w:cs="Times New Roman"/>
          <w:szCs w:val="28"/>
        </w:rPr>
        <w:t>亿元，增长</w:t>
      </w:r>
      <w:r>
        <w:rPr>
          <w:rFonts w:hint="eastAsia" w:ascii="Times New Roman" w:hAnsi="Times New Roman" w:eastAsia="宋体" w:cs="Times New Roman"/>
          <w:szCs w:val="28"/>
          <w:lang w:val="en-US" w:eastAsia="zh-CN"/>
        </w:rPr>
        <w:t>4.7</w:t>
      </w:r>
      <w:r>
        <w:rPr>
          <w:rFonts w:hint="eastAsia" w:ascii="Times New Roman" w:hAnsi="Times New Roman" w:eastAsia="宋体" w:cs="Times New Roman"/>
          <w:szCs w:val="28"/>
        </w:rPr>
        <w:t>%</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rPr>
        <w:t>一般公共预算收入</w:t>
      </w:r>
      <w:r>
        <w:rPr>
          <w:rFonts w:hint="eastAsia" w:ascii="Times New Roman" w:hAnsi="Times New Roman" w:eastAsia="宋体" w:cs="Times New Roman"/>
          <w:szCs w:val="28"/>
          <w:lang w:val="en-US" w:eastAsia="zh-CN"/>
        </w:rPr>
        <w:t>18.1</w:t>
      </w:r>
      <w:r>
        <w:rPr>
          <w:rFonts w:hint="eastAsia" w:ascii="Times New Roman" w:hAnsi="Times New Roman" w:eastAsia="宋体" w:cs="Times New Roman"/>
          <w:szCs w:val="28"/>
        </w:rPr>
        <w:t>亿元，增长</w:t>
      </w:r>
      <w:r>
        <w:rPr>
          <w:rFonts w:hint="eastAsia" w:ascii="Times New Roman" w:hAnsi="Times New Roman" w:eastAsia="宋体" w:cs="Times New Roman"/>
          <w:szCs w:val="28"/>
          <w:lang w:val="en-US" w:eastAsia="zh-CN"/>
        </w:rPr>
        <w:t>0.3</w:t>
      </w:r>
      <w:r>
        <w:rPr>
          <w:rFonts w:hint="eastAsia" w:ascii="Times New Roman" w:hAnsi="Times New Roman" w:eastAsia="宋体" w:cs="Times New Roman"/>
          <w:szCs w:val="28"/>
        </w:rPr>
        <w:t>%</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rPr>
        <w:t>全社会固定资产投资30</w:t>
      </w:r>
      <w:r>
        <w:rPr>
          <w:rFonts w:hint="eastAsia" w:ascii="Times New Roman" w:hAnsi="Times New Roman" w:eastAsia="宋体" w:cs="Times New Roman"/>
          <w:szCs w:val="28"/>
          <w:lang w:val="en-US" w:eastAsia="zh-CN"/>
        </w:rPr>
        <w:t>2.4</w:t>
      </w:r>
      <w:r>
        <w:rPr>
          <w:rFonts w:hint="eastAsia" w:ascii="Times New Roman" w:hAnsi="Times New Roman" w:eastAsia="宋体" w:cs="Times New Roman"/>
          <w:szCs w:val="28"/>
        </w:rPr>
        <w:t>亿元，增长17.</w:t>
      </w:r>
      <w:r>
        <w:rPr>
          <w:rFonts w:hint="eastAsia" w:ascii="Times New Roman" w:hAnsi="Times New Roman" w:eastAsia="宋体" w:cs="Times New Roman"/>
          <w:szCs w:val="28"/>
          <w:lang w:val="en-US" w:eastAsia="zh-CN"/>
        </w:rPr>
        <w:t>7</w:t>
      </w:r>
      <w:r>
        <w:rPr>
          <w:rFonts w:hint="eastAsia" w:ascii="Times New Roman" w:hAnsi="Times New Roman" w:eastAsia="宋体" w:cs="Times New Roman"/>
          <w:szCs w:val="28"/>
        </w:rPr>
        <w:t>%</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rPr>
        <w:t>社会消费品零售总额</w:t>
      </w:r>
      <w:r>
        <w:rPr>
          <w:rFonts w:hint="eastAsia" w:ascii="Times New Roman" w:hAnsi="Times New Roman" w:eastAsia="宋体" w:cs="Times New Roman"/>
          <w:szCs w:val="28"/>
          <w:lang w:val="en-US" w:eastAsia="zh-CN"/>
        </w:rPr>
        <w:t>394.3</w:t>
      </w:r>
      <w:r>
        <w:rPr>
          <w:rFonts w:hint="eastAsia" w:ascii="Times New Roman" w:hAnsi="Times New Roman" w:eastAsia="宋体" w:cs="Times New Roman"/>
          <w:szCs w:val="28"/>
        </w:rPr>
        <w:t>亿元，增长</w:t>
      </w:r>
      <w:r>
        <w:rPr>
          <w:rFonts w:hint="eastAsia" w:ascii="Times New Roman" w:hAnsi="Times New Roman" w:eastAsia="宋体" w:cs="Times New Roman"/>
          <w:szCs w:val="28"/>
          <w:lang w:val="en-US" w:eastAsia="zh-CN"/>
        </w:rPr>
        <w:t>2</w:t>
      </w:r>
      <w:r>
        <w:rPr>
          <w:rFonts w:hint="eastAsia" w:ascii="Times New Roman" w:hAnsi="Times New Roman" w:eastAsia="宋体" w:cs="Times New Roman"/>
          <w:szCs w:val="28"/>
        </w:rPr>
        <w:t>%</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rPr>
        <w:t>城乡居民人均可支配收入达到</w:t>
      </w:r>
      <w:r>
        <w:rPr>
          <w:rFonts w:hint="eastAsia" w:ascii="Times New Roman" w:hAnsi="Times New Roman" w:eastAsia="宋体" w:cs="Times New Roman"/>
          <w:szCs w:val="28"/>
          <w:lang w:val="en-US" w:eastAsia="zh-CN"/>
        </w:rPr>
        <w:t>27572</w:t>
      </w:r>
      <w:r>
        <w:rPr>
          <w:rFonts w:hint="eastAsia" w:ascii="Times New Roman" w:hAnsi="Times New Roman" w:eastAsia="宋体" w:cs="Times New Roman"/>
          <w:szCs w:val="28"/>
        </w:rPr>
        <w:t>元</w:t>
      </w: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rPr>
        <w:t>增长</w:t>
      </w:r>
      <w:r>
        <w:rPr>
          <w:rFonts w:hint="eastAsia" w:ascii="Times New Roman" w:hAnsi="Times New Roman" w:eastAsia="宋体" w:cs="Times New Roman"/>
          <w:szCs w:val="28"/>
          <w:lang w:val="en-US" w:eastAsia="zh-CN"/>
        </w:rPr>
        <w:t>11.7</w:t>
      </w:r>
      <w:r>
        <w:rPr>
          <w:rFonts w:hint="eastAsia" w:ascii="Times New Roman" w:hAnsi="Times New Roman" w:eastAsia="宋体" w:cs="Times New Roman"/>
          <w:szCs w:val="28"/>
        </w:rPr>
        <w:t>%。</w:t>
      </w:r>
    </w:p>
    <w:p w14:paraId="566E1443">
      <w:pPr>
        <w:pageBreakBefore w:val="0"/>
        <w:widowControl w:val="0"/>
        <w:kinsoku/>
        <w:bidi w:val="0"/>
        <w:spacing w:beforeAutospacing="0" w:afterAutospacing="0"/>
        <w:ind w:left="0" w:firstLine="480"/>
        <w:rPr>
          <w:rFonts w:hint="default"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2022年，云阳县推动经济稳增长有力有效，坚持“盯着项目干”，接续开展“提能升级”“提速增效”“提量提质”三个百日攻坚行动，173个重大项目完成投资206.8亿元；争取各类上级专项资金83亿元，为云阳历史之最；</w:t>
      </w:r>
      <w:r>
        <w:rPr>
          <w:rFonts w:hint="default" w:ascii="Times New Roman" w:hAnsi="Times New Roman" w:eastAsia="宋体" w:cs="Times New Roman"/>
          <w:szCs w:val="28"/>
          <w:lang w:val="en-US" w:eastAsia="zh-CN"/>
        </w:rPr>
        <w:t>全国首单政策性金融基金</w:t>
      </w:r>
      <w:r>
        <w:rPr>
          <w:rFonts w:hint="eastAsia" w:ascii="Times New Roman" w:hAnsi="Times New Roman" w:eastAsia="宋体" w:cs="Times New Roman"/>
          <w:szCs w:val="28"/>
          <w:lang w:val="en-US" w:eastAsia="zh-CN"/>
        </w:rPr>
        <w:t>8</w:t>
      </w:r>
      <w:r>
        <w:rPr>
          <w:rFonts w:hint="default" w:ascii="Times New Roman" w:hAnsi="Times New Roman" w:eastAsia="宋体" w:cs="Times New Roman"/>
          <w:szCs w:val="28"/>
          <w:lang w:val="en-US" w:eastAsia="zh-CN"/>
        </w:rPr>
        <w:t>亿元</w:t>
      </w:r>
      <w:r>
        <w:rPr>
          <w:rFonts w:hint="eastAsia" w:ascii="Times New Roman" w:hAnsi="Times New Roman" w:eastAsia="宋体" w:cs="Times New Roman"/>
          <w:szCs w:val="28"/>
          <w:lang w:val="en-US" w:eastAsia="zh-CN"/>
        </w:rPr>
        <w:t>投放云阳，获</w:t>
      </w:r>
      <w:r>
        <w:rPr>
          <w:rFonts w:hint="eastAsia" w:ascii="Times New Roman" w:cs="Times New Roman"/>
          <w:szCs w:val="28"/>
          <w:lang w:val="en-US" w:eastAsia="zh-CN"/>
        </w:rPr>
        <w:t>国务院</w:t>
      </w:r>
      <w:r>
        <w:rPr>
          <w:rFonts w:hint="eastAsia" w:ascii="Times New Roman" w:hAnsi="Times New Roman" w:eastAsia="宋体" w:cs="Times New Roman"/>
          <w:szCs w:val="28"/>
          <w:lang w:val="en-US" w:eastAsia="zh-CN"/>
        </w:rPr>
        <w:t>肯定性批示；引进亿元以上招商项目35个，投资超10亿元的华地云谷、雲扬电子、洞鹿风电在云阳“安家落户”。着力“围着主体转”，创新开展“我为企业找政策”大比武，用“算力”替“人力”、变“审批”为“服务”，兑现暖心惠企政策5.2亿元；实施市场主体培育“双增”行动</w:t>
      </w:r>
      <w:r>
        <w:rPr>
          <w:rFonts w:hint="default" w:ascii="Times New Roman" w:hAnsi="Times New Roman" w:eastAsia="宋体" w:cs="Times New Roman"/>
          <w:szCs w:val="28"/>
          <w:lang w:val="en-US" w:eastAsia="zh-CN"/>
        </w:rPr>
        <w:t>，</w:t>
      </w:r>
      <w:r>
        <w:rPr>
          <w:rFonts w:hint="eastAsia" w:ascii="Times New Roman" w:hAnsi="Times New Roman" w:eastAsia="宋体" w:cs="Times New Roman"/>
          <w:szCs w:val="28"/>
          <w:lang w:val="en-US" w:eastAsia="zh-CN"/>
        </w:rPr>
        <w:t>净增</w:t>
      </w:r>
      <w:r>
        <w:rPr>
          <w:rFonts w:hint="default" w:ascii="Times New Roman" w:hAnsi="Times New Roman" w:eastAsia="宋体" w:cs="Times New Roman"/>
          <w:szCs w:val="28"/>
          <w:lang w:val="en-US" w:eastAsia="zh-CN"/>
        </w:rPr>
        <w:t>市场主体1.</w:t>
      </w:r>
      <w:r>
        <w:rPr>
          <w:rFonts w:hint="eastAsia" w:ascii="Times New Roman" w:hAnsi="Times New Roman" w:eastAsia="宋体" w:cs="Times New Roman"/>
          <w:szCs w:val="28"/>
          <w:lang w:val="en-US" w:eastAsia="zh-CN"/>
        </w:rPr>
        <w:t>2</w:t>
      </w:r>
      <w:r>
        <w:rPr>
          <w:rFonts w:hint="default" w:ascii="Times New Roman" w:hAnsi="Times New Roman" w:eastAsia="宋体" w:cs="Times New Roman"/>
          <w:szCs w:val="28"/>
          <w:lang w:val="en-US" w:eastAsia="zh-CN"/>
        </w:rPr>
        <w:t>万户</w:t>
      </w:r>
      <w:r>
        <w:rPr>
          <w:rFonts w:hint="eastAsia" w:ascii="Times New Roman" w:hAnsi="Times New Roman" w:eastAsia="宋体" w:cs="Times New Roman"/>
          <w:szCs w:val="28"/>
          <w:lang w:val="en-US" w:eastAsia="zh-CN"/>
        </w:rPr>
        <w:t>、“四上企业”137家。大力激发消费活力潜力，深入落实促进消费恢复发展19项措施，滨江购物公园建成开街，金科口福街、彩云梯步行街、三国印巷风情街加快升级，成功举办第二届“天生云阳”金秋节系列活动，累计拉动消费150亿元；全年批零销售额分别增长11.2%、7.2%，住餐营业额分别增长6.9%、7.1%</w:t>
      </w:r>
      <w:r>
        <w:rPr>
          <w:rFonts w:hint="default" w:ascii="Times New Roman" w:hAnsi="Times New Roman" w:eastAsia="宋体" w:cs="Times New Roman"/>
          <w:szCs w:val="28"/>
          <w:lang w:val="en-US" w:eastAsia="zh-CN"/>
        </w:rPr>
        <w:t>。</w:t>
      </w:r>
    </w:p>
    <w:p w14:paraId="27E70F1C">
      <w:pPr>
        <w:pageBreakBefore w:val="0"/>
        <w:widowControl w:val="0"/>
        <w:kinsoku/>
        <w:bidi w:val="0"/>
        <w:spacing w:beforeAutospacing="0" w:afterAutospacing="0"/>
        <w:ind w:left="0" w:firstLine="480"/>
        <w:rPr>
          <w:rFonts w:hint="eastAsia" w:ascii="Times New Roman" w:hAnsi="Times New Roman" w:eastAsia="宋体" w:cs="Times New Roman"/>
          <w:szCs w:val="28"/>
        </w:rPr>
      </w:pPr>
      <w:r>
        <w:rPr>
          <w:rFonts w:hint="eastAsia" w:ascii="Times New Roman" w:hAnsi="Times New Roman" w:eastAsia="宋体" w:cs="Times New Roman"/>
          <w:szCs w:val="28"/>
          <w:lang w:val="en-US" w:eastAsia="zh-CN"/>
        </w:rPr>
        <w:t>2022年，云阳县现代产业加快发展，提量培优“千亿工业”，“链群、质量、科技”三大赋能工程深入实施，“1+5+42”工业发展平台活力迸发，“三大产业集群”总产值超300亿元，规上工业增加值增长4.7%；成功培育国家级</w:t>
      </w:r>
      <w:r>
        <w:rPr>
          <w:rFonts w:hint="default" w:ascii="Times New Roman" w:cs="Times New Roman"/>
          <w:szCs w:val="28"/>
          <w:lang w:val="en" w:eastAsia="zh-CN"/>
        </w:rPr>
        <w:t>专精特新"小巨人"</w:t>
      </w:r>
      <w:r>
        <w:rPr>
          <w:rFonts w:hint="eastAsia" w:ascii="Times New Roman" w:hAnsi="Times New Roman" w:eastAsia="宋体" w:cs="Times New Roman"/>
          <w:szCs w:val="28"/>
          <w:lang w:val="en-US" w:eastAsia="zh-CN"/>
        </w:rPr>
        <w:t>企业1家、市级11家，云海药业、金田塑业入围全市制造业100强。提质增效现代农业，新建和改建标准化农业产业园3.8万亩，柑橘、中药材产值突破26亿元；新培育市级以上农产品品牌16个，故陵椪柑荣获“全国名特优新农产品”；农业增加值增长6.3%。提速发展大旅游大健康大数据，环湖绿道成功创建国家4A级旅游景区，荣登2022年全国县域旅游发展潜力百佳县榜首；实施大健康标志性项目38个、完成投资20亿元，清水康养城、数智森林小镇、恐龙地质公园建设顺利推进；培育大数据核心企业54家，125家企业“上云用数赋智”</w:t>
      </w:r>
      <w:r>
        <w:rPr>
          <w:rFonts w:hint="eastAsia" w:ascii="Times New Roman" w:hAnsi="Times New Roman" w:eastAsia="宋体" w:cs="Times New Roman"/>
          <w:szCs w:val="28"/>
        </w:rPr>
        <w:t>。</w:t>
      </w:r>
      <w:r>
        <w:rPr>
          <w:rFonts w:hint="eastAsia" w:ascii="Times New Roman" w:hAnsi="Times New Roman" w:eastAsia="宋体" w:cs="Times New Roman"/>
          <w:szCs w:val="28"/>
          <w:lang w:val="en-US" w:eastAsia="zh-CN"/>
        </w:rPr>
        <w:t>绿色建筑和房地产业保持平稳发展。航运运力达229万载重吨，保持全市第一</w:t>
      </w:r>
      <w:r>
        <w:rPr>
          <w:rFonts w:hint="eastAsia" w:ascii="Times New Roman" w:hAnsi="Times New Roman" w:eastAsia="宋体" w:cs="Times New Roman"/>
          <w:szCs w:val="28"/>
        </w:rPr>
        <w:t>。</w:t>
      </w:r>
    </w:p>
    <w:p w14:paraId="49EE19EB">
      <w:pPr>
        <w:pageBreakBefore w:val="0"/>
        <w:widowControl w:val="0"/>
        <w:kinsoku/>
        <w:bidi w:val="0"/>
        <w:spacing w:beforeAutospacing="0" w:afterAutospacing="0"/>
        <w:ind w:left="0" w:firstLine="48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2022年，云阳县创新驱动持续增强，</w:t>
      </w:r>
      <w:r>
        <w:rPr>
          <w:rFonts w:hint="eastAsia" w:ascii="Times New Roman" w:hAnsi="Times New Roman" w:eastAsia="宋体" w:cs="Times New Roman"/>
          <w:szCs w:val="28"/>
          <w:lang w:eastAsia="zh-CN"/>
        </w:rPr>
        <w:t>“中国复眼”落户云阳，</w:t>
      </w:r>
      <w:r>
        <w:rPr>
          <w:rFonts w:hint="eastAsia" w:ascii="Times New Roman" w:hAnsi="Times New Roman" w:eastAsia="宋体" w:cs="Times New Roman"/>
          <w:szCs w:val="28"/>
          <w:lang w:val="en-US" w:eastAsia="zh-CN"/>
        </w:rPr>
        <w:t>历史性迎来国家级重大科技项目</w:t>
      </w:r>
      <w:r>
        <w:rPr>
          <w:rFonts w:hint="eastAsia" w:ascii="Times New Roman" w:hAnsi="Times New Roman" w:eastAsia="宋体" w:cs="Times New Roman"/>
          <w:szCs w:val="28"/>
          <w:lang w:eastAsia="zh-CN"/>
        </w:rPr>
        <w:t>。实施国家高新技术企业培育计划</w:t>
      </w:r>
      <w:r>
        <w:rPr>
          <w:rFonts w:hint="eastAsia" w:ascii="Times New Roman" w:hAnsi="Times New Roman" w:eastAsia="宋体" w:cs="Times New Roman"/>
          <w:szCs w:val="28"/>
          <w:lang w:val="en-US" w:eastAsia="zh-CN"/>
        </w:rPr>
        <w:t>、</w:t>
      </w:r>
      <w:r>
        <w:rPr>
          <w:rFonts w:hint="eastAsia" w:ascii="Times New Roman" w:hAnsi="Times New Roman" w:eastAsia="宋体" w:cs="Times New Roman"/>
          <w:szCs w:val="28"/>
          <w:lang w:eastAsia="zh-CN"/>
        </w:rPr>
        <w:t>市级科技型企业“三年倍增计划”，培育国家高新技术企业</w:t>
      </w:r>
      <w:r>
        <w:rPr>
          <w:rFonts w:hint="eastAsia" w:ascii="Times New Roman" w:hAnsi="Times New Roman" w:eastAsia="宋体" w:cs="Times New Roman"/>
          <w:szCs w:val="28"/>
          <w:lang w:val="en-US" w:eastAsia="zh-CN"/>
        </w:rPr>
        <w:t>16</w:t>
      </w:r>
      <w:r>
        <w:rPr>
          <w:rFonts w:hint="eastAsia" w:ascii="Times New Roman" w:hAnsi="Times New Roman" w:eastAsia="宋体" w:cs="Times New Roman"/>
          <w:szCs w:val="28"/>
          <w:lang w:eastAsia="zh-CN"/>
        </w:rPr>
        <w:t>家、市级科技型企业</w:t>
      </w:r>
      <w:r>
        <w:rPr>
          <w:rFonts w:hint="eastAsia" w:ascii="Times New Roman" w:hAnsi="Times New Roman" w:eastAsia="宋体" w:cs="Times New Roman"/>
          <w:szCs w:val="28"/>
          <w:lang w:val="en-US" w:eastAsia="zh-CN"/>
        </w:rPr>
        <w:t>72</w:t>
      </w:r>
      <w:r>
        <w:rPr>
          <w:rFonts w:hint="eastAsia" w:ascii="Times New Roman" w:hAnsi="Times New Roman" w:eastAsia="宋体" w:cs="Times New Roman"/>
          <w:szCs w:val="28"/>
          <w:lang w:eastAsia="zh-CN"/>
        </w:rPr>
        <w:t>家。</w:t>
      </w:r>
      <w:r>
        <w:rPr>
          <w:rFonts w:hint="eastAsia" w:ascii="Times New Roman" w:hAnsi="Times New Roman" w:eastAsia="宋体" w:cs="Times New Roman"/>
          <w:szCs w:val="28"/>
          <w:lang w:val="en-US" w:eastAsia="zh-CN"/>
        </w:rPr>
        <w:t>首期人才公寓正式启用，124名青年人才“拎包入住”。科创中国·重庆双月论坛在云举行，</w:t>
      </w:r>
      <w:r>
        <w:rPr>
          <w:rFonts w:hint="eastAsia" w:ascii="Times New Roman" w:hAnsi="Times New Roman" w:eastAsia="宋体" w:cs="Times New Roman"/>
          <w:szCs w:val="28"/>
          <w:lang w:eastAsia="zh-CN"/>
        </w:rPr>
        <w:t>“三峡药材科技创新联盟”“三峡云海药业博士工作站”正式揭牌。</w:t>
      </w:r>
      <w:r>
        <w:rPr>
          <w:rFonts w:hint="eastAsia" w:ascii="Times New Roman" w:hAnsi="Times New Roman" w:eastAsia="宋体" w:cs="Times New Roman"/>
          <w:szCs w:val="28"/>
          <w:lang w:val="en-US" w:eastAsia="zh-CN"/>
        </w:rPr>
        <w:t>成功入选国家知识产权强县建设试点县。</w:t>
      </w:r>
    </w:p>
    <w:p w14:paraId="2415B26D">
      <w:pPr>
        <w:pStyle w:val="10"/>
        <w:pageBreakBefore w:val="0"/>
        <w:widowControl w:val="0"/>
        <w:kinsoku/>
        <w:bidi w:val="0"/>
        <w:spacing w:before="0" w:beforeAutospacing="0" w:after="0" w:afterAutospacing="0"/>
        <w:ind w:left="0"/>
      </w:pPr>
      <w:bookmarkStart w:id="54" w:name="_Toc16853"/>
      <w:r>
        <w:rPr>
          <w:rFonts w:hint="eastAsia"/>
          <w:lang w:val="en-US" w:eastAsia="zh-CN"/>
        </w:rPr>
        <w:t>黄石镇</w:t>
      </w:r>
      <w:r>
        <w:rPr>
          <w:rFonts w:hint="eastAsia"/>
        </w:rPr>
        <w:t>社会经济概况</w:t>
      </w:r>
      <w:bookmarkEnd w:id="54"/>
    </w:p>
    <w:p w14:paraId="058EDDD7">
      <w:pPr>
        <w:pageBreakBefore w:val="0"/>
        <w:widowControl w:val="0"/>
        <w:kinsoku/>
        <w:bidi w:val="0"/>
        <w:spacing w:beforeAutospacing="0" w:afterAutospacing="0"/>
        <w:ind w:left="0" w:firstLine="48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黄石镇位于</w:t>
      </w:r>
      <w:r>
        <w:rPr>
          <w:rFonts w:hint="eastAsia" w:ascii="Times New Roman" w:cs="Times New Roman"/>
          <w:szCs w:val="28"/>
          <w:lang w:val="en-US" w:eastAsia="zh-CN"/>
        </w:rPr>
        <w:t>云阳</w:t>
      </w:r>
      <w:r>
        <w:rPr>
          <w:rFonts w:hint="eastAsia" w:ascii="Times New Roman" w:hAnsi="Times New Roman" w:eastAsia="宋体" w:cs="Times New Roman"/>
          <w:szCs w:val="28"/>
          <w:lang w:val="en-US" w:eastAsia="zh-CN"/>
        </w:rPr>
        <w:t>县城西北8公里，是县城的重要组团。镇幅员面积41平方公里，耕地面积225公顷；森林面积2487.8公顷，森林覆盖率65%，其中退耕还林面积1348公顷。辖4个村3个社区，61个村民小组，5666户16539人，其中非农业人口6736人，农业人口9803人。集镇面积0.45平方公里，集镇人口</w:t>
      </w:r>
      <w:r>
        <w:rPr>
          <w:rFonts w:hint="eastAsia" w:ascii="Times New Roman" w:cs="Times New Roman"/>
          <w:szCs w:val="28"/>
          <w:lang w:val="en-US" w:eastAsia="zh-CN"/>
        </w:rPr>
        <w:t>8780</w:t>
      </w:r>
      <w:r>
        <w:rPr>
          <w:rFonts w:hint="eastAsia" w:ascii="Times New Roman" w:hAnsi="Times New Roman" w:eastAsia="宋体" w:cs="Times New Roman"/>
          <w:szCs w:val="28"/>
          <w:lang w:val="en-US" w:eastAsia="zh-CN"/>
        </w:rPr>
        <w:t>人。黄石镇作为县城引领核心发展区，是郑万高铁云阳站的所在地，江龙高速、内外环等穿境而过，黄石镇远期有10平方公里纳入规划。不仅是“三环三高三大片”主战场，还是高铁新城建设的主阵地。截止2021年10月，黄石镇已完成全社会固定资产投资4681万元，本级财政收入967万元。年产柑橘8000余吨，枳壳产量每年达到800吨，茶叶20000公斤，香菇18000公斤；出栏生猪11000头，肉鸽32000羽。发展种植大户25户，培育家庭农场2家，新建红糖厂1家，年产红糖达到7万余斤。市场主体达884家，纳税企业26家。培育”四上企业“共7家，规模以上工业4家，实现产值2.4亿元，中小企业型工业企业19家，实现产值4832万元。2021年黄石镇认真落实县委、县政府提出的“双100双1000”战略，“五地一支撑”目标，全面推进乡村振兴战略，实现经济社会协调发展，保持社会经济稳定增长，产业结构明显优化，公共服务更加健全，群众生活质量持续提高。今年经济社会发展主要预期目标是：</w:t>
      </w:r>
      <w:bookmarkStart w:id="55" w:name="_Hlk29391269"/>
      <w:r>
        <w:rPr>
          <w:rFonts w:hint="eastAsia" w:ascii="Times New Roman" w:hAnsi="Times New Roman" w:eastAsia="宋体" w:cs="Times New Roman"/>
          <w:szCs w:val="28"/>
          <w:lang w:val="en-US" w:eastAsia="zh-CN"/>
        </w:rPr>
        <w:t>全社会固定资产投资增长38%左右，其中工业占其55%左右；农村居民人均可支配收入增长10%以上。</w:t>
      </w:r>
      <w:bookmarkEnd w:id="55"/>
      <w:r>
        <w:rPr>
          <w:rFonts w:hint="eastAsia" w:ascii="Times New Roman" w:hAnsi="Times New Roman" w:eastAsia="宋体" w:cs="Times New Roman"/>
          <w:szCs w:val="28"/>
          <w:lang w:val="en-US" w:eastAsia="zh-CN"/>
        </w:rPr>
        <w:t>计划财政收入完成5359万元，招商引资落地资金1.08亿元。</w:t>
      </w:r>
    </w:p>
    <w:p w14:paraId="3641FFD5">
      <w:pPr>
        <w:pageBreakBefore w:val="0"/>
        <w:widowControl w:val="0"/>
        <w:kinsoku/>
        <w:bidi w:val="0"/>
        <w:spacing w:beforeAutospacing="0" w:afterAutospacing="0"/>
        <w:ind w:left="0" w:firstLine="48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“十四五”期间，黄石将做好“一规划一保障” 、完善“六系统”、满足六大功能，统筹生产、生活、生态，公建奠基础、产业聚人气、环境提品质，走新型城镇化之路，建设“高铁新城、活力黄石” 。</w:t>
      </w:r>
    </w:p>
    <w:p w14:paraId="4B9F155D">
      <w:pPr>
        <w:pStyle w:val="9"/>
        <w:pageBreakBefore w:val="0"/>
        <w:widowControl w:val="0"/>
        <w:kinsoku/>
        <w:bidi w:val="0"/>
        <w:spacing w:before="0" w:beforeAutospacing="0" w:after="0" w:afterAutospacing="0"/>
        <w:ind w:left="0"/>
      </w:pPr>
      <w:bookmarkStart w:id="56" w:name="_Toc8256"/>
      <w:bookmarkStart w:id="57" w:name="_Toc43925458"/>
      <w:bookmarkStart w:id="58" w:name="_Toc38391123"/>
      <w:r>
        <w:t>水源地环境现状调查与评估</w:t>
      </w:r>
      <w:bookmarkEnd w:id="56"/>
      <w:bookmarkEnd w:id="57"/>
      <w:bookmarkEnd w:id="58"/>
    </w:p>
    <w:p w14:paraId="6AEEB2B3">
      <w:pPr>
        <w:pStyle w:val="11"/>
        <w:pageBreakBefore w:val="0"/>
        <w:widowControl w:val="0"/>
        <w:kinsoku/>
        <w:bidi w:val="0"/>
        <w:spacing w:before="0" w:beforeAutospacing="0" w:after="0" w:afterAutospacing="0"/>
        <w:ind w:left="0"/>
      </w:pPr>
      <w:bookmarkStart w:id="59" w:name="_Toc38391134"/>
      <w:bookmarkStart w:id="60" w:name="_Toc17917"/>
      <w:bookmarkStart w:id="61" w:name="_Toc43925459"/>
      <w:bookmarkStart w:id="62" w:name="_Toc38391124"/>
      <w:r>
        <w:t>水源地情况调查</w:t>
      </w:r>
      <w:bookmarkEnd w:id="59"/>
      <w:bookmarkEnd w:id="60"/>
      <w:bookmarkEnd w:id="61"/>
    </w:p>
    <w:tbl>
      <w:tblPr>
        <w:tblStyle w:val="27"/>
        <w:tblpPr w:leftFromText="180" w:rightFromText="180" w:vertAnchor="text" w:horzAnchor="page" w:tblpX="1458" w:tblpY="1569"/>
        <w:tblOverlap w:val="never"/>
        <w:tblW w:w="9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0"/>
        <w:gridCol w:w="2000"/>
        <w:gridCol w:w="2000"/>
        <w:gridCol w:w="2095"/>
        <w:gridCol w:w="2490"/>
      </w:tblGrid>
      <w:tr w14:paraId="5B986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0" w:type="dxa"/>
            <w:vMerge w:val="restart"/>
            <w:tcBorders>
              <w:top w:val="single" w:color="auto" w:sz="4" w:space="0"/>
              <w:left w:val="single" w:color="auto" w:sz="4" w:space="0"/>
              <w:right w:val="single" w:color="000000" w:sz="4" w:space="0"/>
            </w:tcBorders>
            <w:shd w:val="clear" w:color="auto" w:fill="auto"/>
            <w:vAlign w:val="center"/>
          </w:tcPr>
          <w:p w14:paraId="5ADD7307">
            <w:pPr>
              <w:pageBreakBefore w:val="0"/>
              <w:widowControl w:val="0"/>
              <w:kinsoku/>
              <w:bidi w:val="0"/>
              <w:spacing w:beforeAutospacing="0" w:afterAutospacing="0"/>
              <w:ind w:left="0" w:leftChars="0" w:firstLine="0" w:firstLineChars="0"/>
              <w:jc w:val="center"/>
              <w:rPr>
                <w:rFonts w:hint="eastAsia" w:ascii="方正黑体_GBK" w:hAnsi="方正黑体_GBK" w:eastAsia="方正黑体_GBK" w:cs="方正黑体_GBK"/>
                <w:i w:val="0"/>
                <w:iCs w:val="0"/>
                <w:color w:val="000000"/>
                <w:sz w:val="18"/>
                <w:szCs w:val="18"/>
                <w:u w:val="none"/>
                <w:lang w:eastAsia="zh-CN"/>
              </w:rPr>
            </w:pPr>
            <w:r>
              <w:rPr>
                <w:rFonts w:hint="eastAsia" w:ascii="方正黑体_GBK" w:hAnsi="方正黑体_GBK" w:eastAsia="方正黑体_GBK" w:cs="方正黑体_GBK"/>
                <w:i w:val="0"/>
                <w:iCs w:val="0"/>
                <w:color w:val="000000"/>
                <w:sz w:val="18"/>
                <w:szCs w:val="18"/>
                <w:u w:val="none"/>
                <w:lang w:eastAsia="zh-CN"/>
              </w:rPr>
              <w:t>水源地名称</w:t>
            </w:r>
          </w:p>
        </w:tc>
        <w:tc>
          <w:tcPr>
            <w:tcW w:w="400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CF57940">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一级保护区</w:t>
            </w:r>
          </w:p>
        </w:tc>
        <w:tc>
          <w:tcPr>
            <w:tcW w:w="4585"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2C371658">
            <w:pPr>
              <w:pageBreakBefore w:val="0"/>
              <w:widowControl w:val="0"/>
              <w:kinsoku/>
              <w:bidi w:val="0"/>
              <w:spacing w:beforeAutospacing="0" w:afterAutospacing="0"/>
              <w:ind w:left="0"/>
              <w:jc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二级保护区</w:t>
            </w:r>
          </w:p>
        </w:tc>
      </w:tr>
      <w:tr w14:paraId="3C55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10" w:type="dxa"/>
            <w:vMerge w:val="continue"/>
            <w:tcBorders>
              <w:left w:val="single" w:color="auto" w:sz="4" w:space="0"/>
              <w:bottom w:val="single" w:color="auto" w:sz="4" w:space="0"/>
              <w:right w:val="single" w:color="000000" w:sz="4" w:space="0"/>
            </w:tcBorders>
            <w:shd w:val="clear" w:color="auto" w:fill="auto"/>
            <w:vAlign w:val="center"/>
          </w:tcPr>
          <w:p w14:paraId="6D3BB57E">
            <w:pPr>
              <w:pageBreakBefore w:val="0"/>
              <w:widowControl w:val="0"/>
              <w:kinsoku/>
              <w:bidi w:val="0"/>
              <w:spacing w:beforeAutospacing="0" w:afterAutospacing="0"/>
              <w:ind w:left="0"/>
              <w:jc w:val="center"/>
              <w:rPr>
                <w:rFonts w:hint="eastAsia" w:ascii="方正黑体_GBK" w:hAnsi="方正黑体_GBK" w:eastAsia="方正黑体_GBK" w:cs="方正黑体_GBK"/>
                <w:i w:val="0"/>
                <w:iCs w:val="0"/>
                <w:color w:val="000000"/>
                <w:sz w:val="18"/>
                <w:szCs w:val="18"/>
                <w:u w:val="none"/>
              </w:rPr>
            </w:pPr>
          </w:p>
        </w:tc>
        <w:tc>
          <w:tcPr>
            <w:tcW w:w="20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870B0F">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水域范围</w:t>
            </w:r>
          </w:p>
        </w:tc>
        <w:tc>
          <w:tcPr>
            <w:tcW w:w="20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A0BA29E">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陆域范围</w:t>
            </w:r>
          </w:p>
        </w:tc>
        <w:tc>
          <w:tcPr>
            <w:tcW w:w="2095" w:type="dxa"/>
            <w:tcBorders>
              <w:top w:val="single" w:color="000000" w:sz="4" w:space="0"/>
              <w:left w:val="single" w:color="000000" w:sz="4" w:space="0"/>
              <w:bottom w:val="single" w:color="auto" w:sz="4" w:space="0"/>
              <w:right w:val="single" w:color="000000" w:sz="4" w:space="0"/>
            </w:tcBorders>
            <w:shd w:val="clear" w:color="auto" w:fill="auto"/>
            <w:vAlign w:val="center"/>
          </w:tcPr>
          <w:p w14:paraId="6BAB60B5">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水域范围</w:t>
            </w:r>
          </w:p>
        </w:tc>
        <w:tc>
          <w:tcPr>
            <w:tcW w:w="2490" w:type="dxa"/>
            <w:tcBorders>
              <w:top w:val="single" w:color="000000" w:sz="4" w:space="0"/>
              <w:left w:val="single" w:color="000000" w:sz="4" w:space="0"/>
              <w:bottom w:val="single" w:color="auto" w:sz="4" w:space="0"/>
              <w:right w:val="single" w:color="auto" w:sz="4" w:space="0"/>
            </w:tcBorders>
            <w:shd w:val="clear" w:color="auto" w:fill="auto"/>
            <w:vAlign w:val="center"/>
          </w:tcPr>
          <w:p w14:paraId="69EEED7A">
            <w:pPr>
              <w:pageBreakBefore w:val="0"/>
              <w:widowControl w:val="0"/>
              <w:kinsoku/>
              <w:bidi w:val="0"/>
              <w:spacing w:beforeAutospacing="0" w:afterAutospacing="0"/>
              <w:ind w:left="0" w:leftChars="0" w:firstLine="0" w:firstLineChars="0"/>
              <w:jc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陆域范围</w:t>
            </w:r>
          </w:p>
        </w:tc>
      </w:tr>
      <w:tr w14:paraId="5E72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310" w:type="dxa"/>
            <w:tcBorders>
              <w:top w:val="single" w:color="auto" w:sz="4" w:space="0"/>
              <w:left w:val="single" w:color="000000" w:sz="4" w:space="0"/>
              <w:bottom w:val="single" w:color="000000" w:sz="4" w:space="0"/>
              <w:right w:val="single" w:color="000000" w:sz="4" w:space="0"/>
            </w:tcBorders>
            <w:shd w:val="clear" w:color="auto" w:fill="auto"/>
            <w:vAlign w:val="center"/>
          </w:tcPr>
          <w:p w14:paraId="008566E8">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300" w:lineRule="exact"/>
              <w:ind w:left="0" w:leftChars="0" w:firstLine="0" w:firstLineChars="0"/>
              <w:jc w:val="both"/>
              <w:textAlignment w:val="center"/>
              <w:rPr>
                <w:rFonts w:hint="eastAsia" w:ascii="方正仿宋_GBK" w:hAnsi="方正仿宋_GBK" w:eastAsia="方正仿宋_GBK" w:cs="方正仿宋_GBK"/>
                <w:i w:val="0"/>
                <w:iCs w:val="0"/>
                <w:color w:val="000000"/>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rPr>
              <w:t>黄石镇</w:t>
            </w:r>
            <w:r>
              <w:rPr>
                <w:rFonts w:hint="eastAsia" w:ascii="方正仿宋_GBK" w:hAnsi="方正仿宋_GBK" w:eastAsia="方正仿宋_GBK" w:cs="方正仿宋_GBK"/>
                <w:i w:val="0"/>
                <w:iCs w:val="0"/>
                <w:color w:val="000000"/>
                <w:sz w:val="18"/>
                <w:szCs w:val="18"/>
                <w:u w:val="none"/>
                <w:lang w:eastAsia="zh-CN"/>
              </w:rPr>
              <w:t>铁炉沟</w:t>
            </w:r>
            <w:r>
              <w:rPr>
                <w:rFonts w:hint="eastAsia" w:ascii="方正仿宋_GBK" w:hAnsi="方正仿宋_GBK" w:eastAsia="方正仿宋_GBK" w:cs="方正仿宋_GBK"/>
                <w:i w:val="0"/>
                <w:iCs w:val="0"/>
                <w:color w:val="000000"/>
                <w:sz w:val="18"/>
                <w:szCs w:val="18"/>
                <w:u w:val="none"/>
              </w:rPr>
              <w:t>黄石水厂水源地</w:t>
            </w:r>
          </w:p>
        </w:tc>
        <w:tc>
          <w:tcPr>
            <w:tcW w:w="20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F4ED24D">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300" w:lineRule="exact"/>
              <w:ind w:left="0" w:leftChars="0" w:firstLine="0" w:firstLineChars="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取水点上游1000米至下游100米，5年一遇洪水所能淹没的水域</w:t>
            </w:r>
          </w:p>
        </w:tc>
        <w:tc>
          <w:tcPr>
            <w:tcW w:w="20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16E885B">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300" w:lineRule="exact"/>
              <w:ind w:left="0" w:leftChars="0" w:firstLine="0" w:firstLineChars="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河岸两侧纵深各50米的陆域,陆域沿岸长度与一级保护区水域长度相同</w:t>
            </w:r>
          </w:p>
        </w:tc>
        <w:tc>
          <w:tcPr>
            <w:tcW w:w="2095" w:type="dxa"/>
            <w:tcBorders>
              <w:top w:val="single" w:color="auto" w:sz="4" w:space="0"/>
              <w:left w:val="single" w:color="000000" w:sz="4" w:space="0"/>
              <w:bottom w:val="single" w:color="000000" w:sz="4" w:space="0"/>
              <w:right w:val="single" w:color="000000" w:sz="4" w:space="0"/>
            </w:tcBorders>
            <w:shd w:val="clear" w:color="auto" w:fill="auto"/>
            <w:vAlign w:val="center"/>
          </w:tcPr>
          <w:p w14:paraId="108DA95A">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300" w:lineRule="exact"/>
              <w:ind w:left="0" w:leftChars="0" w:firstLine="0" w:firstLineChars="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取水口上游1000至3000米，下游100至300米，一级保护区向外10年一遇洪水所能淹没的水域</w:t>
            </w:r>
          </w:p>
        </w:tc>
        <w:tc>
          <w:tcPr>
            <w:tcW w:w="2490" w:type="dxa"/>
            <w:tcBorders>
              <w:top w:val="single" w:color="auto" w:sz="4" w:space="0"/>
              <w:left w:val="single" w:color="000000" w:sz="4" w:space="0"/>
              <w:bottom w:val="single" w:color="000000" w:sz="4" w:space="0"/>
              <w:right w:val="single" w:color="000000" w:sz="4" w:space="0"/>
            </w:tcBorders>
            <w:shd w:val="clear" w:color="auto" w:fill="auto"/>
            <w:vAlign w:val="center"/>
          </w:tcPr>
          <w:p w14:paraId="1854E03F">
            <w:pPr>
              <w:pageBreakBefore w:val="0"/>
              <w:widowControl w:val="0"/>
              <w:kinsoku/>
              <w:wordWrap w:val="0"/>
              <w:overflowPunct w:val="0"/>
              <w:topLinePunct/>
              <w:autoSpaceDE w:val="0"/>
              <w:autoSpaceDN w:val="0"/>
              <w:bidi w:val="0"/>
              <w:adjustRightInd w:val="0"/>
              <w:snapToGrid w:val="0"/>
              <w:spacing w:beforeAutospacing="0" w:afterAutospacing="0" w:line="300" w:lineRule="exact"/>
              <w:ind w:left="0" w:leftChars="0" w:firstLine="0" w:firstLineChars="0"/>
              <w:jc w:val="center"/>
              <w:rPr>
                <w:rFonts w:hint="eastAsia" w:ascii="方正黑体_GBK" w:hAnsi="方正黑体_GBK" w:eastAsia="方正黑体_GBK" w:cs="方正黑体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河岸两侧纵深各1000米的陆域（一级保护区陆域外），但不超过分水岭，陆域沿岸长度与二级保护区水域长度相同</w:t>
            </w:r>
          </w:p>
        </w:tc>
      </w:tr>
    </w:tbl>
    <w:p w14:paraId="40870EED">
      <w:pPr>
        <w:pageBreakBefore w:val="0"/>
        <w:widowControl w:val="0"/>
        <w:kinsoku/>
        <w:bidi w:val="0"/>
        <w:spacing w:beforeAutospacing="0" w:afterAutospacing="0"/>
        <w:ind w:left="0" w:firstLine="48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根据《万州等18个区县（自治县）集中式饮用水水源地保护区划分及调整方案》（渝府办发〔201</w:t>
      </w:r>
      <w:r>
        <w:rPr>
          <w:rFonts w:hint="eastAsia" w:ascii="Times New Roman" w:cs="Times New Roman"/>
          <w:szCs w:val="28"/>
          <w:lang w:val="en-US" w:eastAsia="zh-CN"/>
        </w:rPr>
        <w:t>7</w:t>
      </w:r>
      <w:r>
        <w:rPr>
          <w:rFonts w:hint="eastAsia" w:ascii="Times New Roman" w:hAnsi="Times New Roman" w:eastAsia="宋体" w:cs="Times New Roman"/>
          <w:szCs w:val="28"/>
          <w:lang w:val="en-US" w:eastAsia="zh-CN"/>
        </w:rPr>
        <w:t>〕</w:t>
      </w:r>
      <w:r>
        <w:rPr>
          <w:rFonts w:hint="eastAsia" w:ascii="Times New Roman" w:cs="Times New Roman"/>
          <w:szCs w:val="28"/>
          <w:lang w:val="en-US" w:eastAsia="zh-CN"/>
        </w:rPr>
        <w:t>21</w:t>
      </w:r>
      <w:r>
        <w:rPr>
          <w:rFonts w:hint="eastAsia" w:ascii="Times New Roman" w:hAnsi="Times New Roman" w:eastAsia="宋体" w:cs="Times New Roman"/>
          <w:szCs w:val="28"/>
          <w:lang w:val="en-US" w:eastAsia="zh-CN"/>
        </w:rPr>
        <w:t>号），划定云阳县</w:t>
      </w:r>
      <w:r>
        <w:rPr>
          <w:rFonts w:hint="eastAsia" w:ascii="Times New Roman" w:cs="Times New Roman"/>
          <w:szCs w:val="28"/>
          <w:lang w:val="en-US" w:eastAsia="zh-CN"/>
        </w:rPr>
        <w:t>黄石</w:t>
      </w:r>
      <w:r>
        <w:rPr>
          <w:rFonts w:hint="eastAsia" w:ascii="Times New Roman" w:hAnsi="Times New Roman" w:eastAsia="宋体" w:cs="Times New Roman"/>
          <w:szCs w:val="28"/>
          <w:lang w:val="en-US" w:eastAsia="zh-CN"/>
        </w:rPr>
        <w:t>镇</w:t>
      </w:r>
      <w:r>
        <w:rPr>
          <w:rFonts w:hint="eastAsia" w:ascii="Times New Roman" w:cs="Times New Roman"/>
          <w:szCs w:val="28"/>
          <w:lang w:val="en-US" w:eastAsia="zh-CN"/>
        </w:rPr>
        <w:t>铁炉沟集中式饮用水水源地</w:t>
      </w:r>
      <w:r>
        <w:rPr>
          <w:rFonts w:hint="eastAsia" w:ascii="Times New Roman" w:hAnsi="Times New Roman" w:eastAsia="宋体" w:cs="Times New Roman"/>
          <w:szCs w:val="28"/>
          <w:lang w:val="en-US" w:eastAsia="zh-CN"/>
        </w:rPr>
        <w:t>为集中式饮用水水源地，保护区范围如下：</w:t>
      </w:r>
      <w:bookmarkStart w:id="63" w:name="_Toc43925460"/>
    </w:p>
    <w:p w14:paraId="0738A87D">
      <w:pPr>
        <w:pStyle w:val="11"/>
        <w:pageBreakBefore w:val="0"/>
        <w:widowControl w:val="0"/>
        <w:kinsoku/>
        <w:bidi w:val="0"/>
        <w:spacing w:before="0" w:beforeAutospacing="0" w:after="0" w:afterAutospacing="0"/>
        <w:ind w:left="0"/>
      </w:pPr>
      <w:bookmarkStart w:id="64" w:name="_Toc22584"/>
      <w:r>
        <w:t>水环境质量</w:t>
      </w:r>
      <w:bookmarkEnd w:id="62"/>
      <w:bookmarkEnd w:id="63"/>
      <w:r>
        <w:rPr>
          <w:rFonts w:hint="eastAsia"/>
        </w:rPr>
        <w:t>现状</w:t>
      </w:r>
      <w:bookmarkEnd w:id="64"/>
    </w:p>
    <w:p w14:paraId="36522533">
      <w:pPr>
        <w:pageBreakBefore w:val="0"/>
        <w:widowControl w:val="0"/>
        <w:kinsoku/>
        <w:bidi w:val="0"/>
        <w:spacing w:beforeAutospacing="0" w:afterAutospacing="0"/>
        <w:ind w:left="0" w:firstLine="48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对</w:t>
      </w:r>
      <w:r>
        <w:rPr>
          <w:rFonts w:hint="eastAsia" w:ascii="Times New Roman" w:cs="Times New Roman"/>
          <w:szCs w:val="28"/>
          <w:lang w:val="en-US" w:eastAsia="zh-CN"/>
        </w:rPr>
        <w:t>黄石</w:t>
      </w:r>
      <w:r>
        <w:rPr>
          <w:rFonts w:hint="eastAsia" w:ascii="Times New Roman" w:hAnsi="Times New Roman" w:eastAsia="宋体" w:cs="Times New Roman"/>
          <w:szCs w:val="28"/>
          <w:lang w:val="en-US" w:eastAsia="zh-CN"/>
        </w:rPr>
        <w:t>镇</w:t>
      </w:r>
      <w:r>
        <w:rPr>
          <w:rFonts w:hint="eastAsia" w:ascii="Times New Roman" w:cs="Times New Roman"/>
          <w:szCs w:val="28"/>
          <w:lang w:val="en-US" w:eastAsia="zh-CN"/>
        </w:rPr>
        <w:t>铁炉沟集中式饮用水水源地</w:t>
      </w:r>
      <w:r>
        <w:rPr>
          <w:rFonts w:hint="eastAsia" w:ascii="Times New Roman" w:hAnsi="Times New Roman" w:eastAsia="宋体" w:cs="Times New Roman"/>
          <w:szCs w:val="28"/>
          <w:lang w:val="en-US" w:eastAsia="zh-CN"/>
        </w:rPr>
        <w:t>202</w:t>
      </w:r>
      <w:r>
        <w:rPr>
          <w:rFonts w:hint="eastAsia" w:ascii="Times New Roman" w:cs="Times New Roman"/>
          <w:szCs w:val="28"/>
          <w:lang w:val="en-US" w:eastAsia="zh-CN"/>
        </w:rPr>
        <w:t>2</w:t>
      </w:r>
      <w:r>
        <w:rPr>
          <w:rFonts w:hint="eastAsia" w:ascii="Times New Roman" w:hAnsi="Times New Roman" w:eastAsia="宋体" w:cs="Times New Roman"/>
          <w:szCs w:val="28"/>
          <w:lang w:val="en-US" w:eastAsia="zh-CN"/>
        </w:rPr>
        <w:t>年监测数据进行水质监测的结果见</w:t>
      </w:r>
      <w:r>
        <w:rPr>
          <w:rFonts w:hint="eastAsia" w:ascii="Times New Roman" w:hAnsi="Times New Roman" w:eastAsia="宋体" w:cs="Times New Roman"/>
          <w:szCs w:val="28"/>
          <w:lang w:val="en-US" w:eastAsia="zh-CN"/>
        </w:rPr>
        <w:fldChar w:fldCharType="begin"/>
      </w:r>
      <w:r>
        <w:rPr>
          <w:rFonts w:hint="eastAsia" w:ascii="Times New Roman" w:hAnsi="Times New Roman" w:eastAsia="宋体" w:cs="Times New Roman"/>
          <w:szCs w:val="28"/>
          <w:lang w:val="en-US" w:eastAsia="zh-CN"/>
        </w:rPr>
        <w:instrText xml:space="preserve"> REF _Ref43970069 \h  \* MERGEFORMAT </w:instrText>
      </w:r>
      <w:r>
        <w:rPr>
          <w:rFonts w:hint="eastAsia" w:ascii="Times New Roman" w:hAnsi="Times New Roman" w:eastAsia="宋体" w:cs="Times New Roman"/>
          <w:szCs w:val="28"/>
          <w:lang w:val="en-US" w:eastAsia="zh-CN"/>
        </w:rPr>
        <w:fldChar w:fldCharType="separate"/>
      </w:r>
      <w:r>
        <w:rPr>
          <w:rFonts w:hint="eastAsia" w:ascii="Times New Roman" w:hAnsi="Times New Roman" w:eastAsia="宋体" w:cs="Times New Roman"/>
          <w:szCs w:val="28"/>
          <w:lang w:val="en-US" w:eastAsia="zh-CN"/>
        </w:rPr>
        <w:t>表4</w:t>
      </w:r>
      <w:r>
        <w:rPr>
          <w:rFonts w:hint="eastAsia" w:ascii="Times New Roman" w:hAnsi="Times New Roman" w:eastAsia="宋体" w:cs="Times New Roman"/>
          <w:szCs w:val="28"/>
          <w:lang w:val="en-US" w:eastAsia="zh-CN"/>
        </w:rPr>
        <w:noBreakHyphen/>
      </w:r>
      <w:r>
        <w:rPr>
          <w:rFonts w:hint="eastAsia" w:ascii="Times New Roman" w:hAnsi="Times New Roman" w:eastAsia="宋体" w:cs="Times New Roman"/>
          <w:szCs w:val="28"/>
          <w:lang w:val="en-US" w:eastAsia="zh-CN"/>
        </w:rPr>
        <w:t>1</w:t>
      </w:r>
      <w:r>
        <w:rPr>
          <w:rFonts w:hint="eastAsia" w:ascii="Times New Roman" w:hAnsi="Times New Roman" w:eastAsia="宋体" w:cs="Times New Roman"/>
          <w:szCs w:val="28"/>
          <w:lang w:val="en-US" w:eastAsia="zh-CN"/>
        </w:rPr>
        <w:fldChar w:fldCharType="end"/>
      </w:r>
      <w:r>
        <w:rPr>
          <w:rFonts w:hint="eastAsia" w:ascii="Times New Roman" w:hAnsi="Times New Roman" w:eastAsia="宋体" w:cs="Times New Roman"/>
          <w:szCs w:val="28"/>
          <w:lang w:val="en-US" w:eastAsia="zh-CN"/>
        </w:rPr>
        <w:t>。由</w:t>
      </w:r>
      <w:r>
        <w:rPr>
          <w:rFonts w:hint="eastAsia" w:ascii="Times New Roman" w:hAnsi="Times New Roman" w:eastAsia="宋体" w:cs="Times New Roman"/>
          <w:szCs w:val="28"/>
          <w:lang w:val="en-US" w:eastAsia="zh-CN"/>
        </w:rPr>
        <w:fldChar w:fldCharType="begin"/>
      </w:r>
      <w:r>
        <w:rPr>
          <w:rFonts w:hint="eastAsia" w:ascii="Times New Roman" w:hAnsi="Times New Roman" w:eastAsia="宋体" w:cs="Times New Roman"/>
          <w:szCs w:val="28"/>
          <w:lang w:val="en-US" w:eastAsia="zh-CN"/>
        </w:rPr>
        <w:instrText xml:space="preserve">REF _Ref43970069 \h \* MERGEFORMAT </w:instrText>
      </w:r>
      <w:r>
        <w:rPr>
          <w:rFonts w:hint="eastAsia" w:ascii="Times New Roman" w:hAnsi="Times New Roman" w:eastAsia="宋体" w:cs="Times New Roman"/>
          <w:szCs w:val="28"/>
          <w:lang w:val="en-US" w:eastAsia="zh-CN"/>
        </w:rPr>
        <w:fldChar w:fldCharType="separate"/>
      </w:r>
      <w:r>
        <w:rPr>
          <w:rFonts w:hint="eastAsia" w:ascii="Times New Roman" w:hAnsi="Times New Roman" w:eastAsia="宋体" w:cs="Times New Roman"/>
          <w:szCs w:val="28"/>
          <w:lang w:val="en-US" w:eastAsia="zh-CN"/>
        </w:rPr>
        <w:t>表4</w:t>
      </w:r>
      <w:r>
        <w:rPr>
          <w:rFonts w:hint="eastAsia" w:ascii="Times New Roman" w:hAnsi="Times New Roman" w:eastAsia="宋体" w:cs="Times New Roman"/>
          <w:szCs w:val="28"/>
          <w:lang w:val="en-US" w:eastAsia="zh-CN"/>
        </w:rPr>
        <w:noBreakHyphen/>
      </w:r>
      <w:r>
        <w:rPr>
          <w:rFonts w:hint="eastAsia" w:ascii="Times New Roman" w:hAnsi="Times New Roman" w:eastAsia="宋体" w:cs="Times New Roman"/>
          <w:szCs w:val="28"/>
          <w:lang w:val="en-US" w:eastAsia="zh-CN"/>
        </w:rPr>
        <w:t>1</w:t>
      </w:r>
      <w:r>
        <w:rPr>
          <w:rFonts w:hint="eastAsia" w:ascii="Times New Roman" w:hAnsi="Times New Roman" w:eastAsia="宋体" w:cs="Times New Roman"/>
          <w:szCs w:val="28"/>
          <w:lang w:val="en-US" w:eastAsia="zh-CN"/>
        </w:rPr>
        <w:fldChar w:fldCharType="end"/>
      </w:r>
      <w:r>
        <w:rPr>
          <w:rFonts w:hint="eastAsia" w:ascii="Times New Roman" w:hAnsi="Times New Roman" w:eastAsia="宋体" w:cs="Times New Roman"/>
          <w:szCs w:val="28"/>
          <w:lang w:val="en-US" w:eastAsia="zh-CN"/>
        </w:rPr>
        <w:t>可知，</w:t>
      </w:r>
      <w:r>
        <w:rPr>
          <w:rFonts w:hint="eastAsia" w:ascii="Times New Roman" w:cs="Times New Roman"/>
          <w:szCs w:val="28"/>
          <w:lang w:val="en-US" w:eastAsia="zh-CN"/>
        </w:rPr>
        <w:t>黄石</w:t>
      </w:r>
      <w:r>
        <w:rPr>
          <w:rFonts w:hint="eastAsia" w:ascii="Times New Roman" w:hAnsi="Times New Roman" w:eastAsia="宋体" w:cs="Times New Roman"/>
          <w:szCs w:val="28"/>
          <w:lang w:val="en-US" w:eastAsia="zh-CN"/>
        </w:rPr>
        <w:t>镇</w:t>
      </w:r>
      <w:r>
        <w:rPr>
          <w:rFonts w:hint="eastAsia" w:ascii="Times New Roman" w:cs="Times New Roman"/>
          <w:szCs w:val="28"/>
          <w:lang w:val="en-US" w:eastAsia="zh-CN"/>
        </w:rPr>
        <w:t>铁炉沟集中式饮用水水源地</w:t>
      </w:r>
      <w:r>
        <w:rPr>
          <w:rFonts w:hint="eastAsia" w:ascii="Times New Roman" w:hAnsi="Times New Roman" w:eastAsia="宋体" w:cs="Times New Roman"/>
          <w:szCs w:val="28"/>
          <w:lang w:val="en-US" w:eastAsia="zh-CN"/>
        </w:rPr>
        <w:t>202</w:t>
      </w:r>
      <w:r>
        <w:rPr>
          <w:rFonts w:hint="eastAsia" w:ascii="Times New Roman" w:cs="Times New Roman"/>
          <w:szCs w:val="28"/>
          <w:lang w:val="en-US" w:eastAsia="zh-CN"/>
        </w:rPr>
        <w:t>2</w:t>
      </w:r>
      <w:r>
        <w:rPr>
          <w:rFonts w:hint="eastAsia" w:ascii="Times New Roman" w:hAnsi="Times New Roman" w:eastAsia="宋体" w:cs="Times New Roman"/>
          <w:szCs w:val="28"/>
          <w:lang w:val="en-US" w:eastAsia="zh-CN"/>
        </w:rPr>
        <w:t>年主要超标因子为总磷。</w:t>
      </w:r>
    </w:p>
    <w:p w14:paraId="3391F55F">
      <w:pPr>
        <w:pStyle w:val="62"/>
        <w:pageBreakBefore w:val="0"/>
        <w:widowControl w:val="0"/>
        <w:kinsoku/>
        <w:bidi w:val="0"/>
        <w:spacing w:beforeAutospacing="0" w:afterAutospacing="0"/>
        <w:ind w:left="0"/>
      </w:pPr>
      <w:bookmarkStart w:id="65" w:name="_Ref43970069"/>
      <w:r>
        <w:rPr>
          <w:rFonts w:hint="eastAsia" w:ascii="黑体" w:hAnsi="黑体"/>
        </w:rPr>
        <w:t xml:space="preserve">表 </w:t>
      </w:r>
      <w:r>
        <w:rPr>
          <w:rFonts w:ascii="黑体" w:hAnsi="黑体"/>
        </w:rPr>
        <w:fldChar w:fldCharType="begin"/>
      </w:r>
      <w:r>
        <w:rPr>
          <w:rFonts w:hint="eastAsia" w:ascii="黑体" w:hAnsi="黑体"/>
        </w:rPr>
        <w:instrText xml:space="preserve">STYLEREF 1 \s</w:instrText>
      </w:r>
      <w:r>
        <w:rPr>
          <w:rFonts w:ascii="黑体" w:hAnsi="黑体"/>
        </w:rPr>
        <w:fldChar w:fldCharType="separate"/>
      </w:r>
      <w:r>
        <w:rPr>
          <w:rFonts w:ascii="黑体" w:hAnsi="黑体"/>
        </w:rPr>
        <w:t>4</w:t>
      </w:r>
      <w:r>
        <w:rPr>
          <w:rFonts w:ascii="黑体" w:hAnsi="黑体"/>
        </w:rPr>
        <w:fldChar w:fldCharType="end"/>
      </w:r>
      <w:r>
        <w:rPr>
          <w:rFonts w:ascii="黑体" w:hAnsi="黑体"/>
        </w:rPr>
        <w:noBreakHyphen/>
      </w:r>
      <w:bookmarkEnd w:id="65"/>
      <w:r>
        <w:rPr>
          <w:rFonts w:hint="eastAsia" w:ascii="黑体" w:hAnsi="黑体"/>
        </w:rPr>
        <w:t xml:space="preserve">1   </w:t>
      </w:r>
      <w:r>
        <w:t>20</w:t>
      </w:r>
      <w:r>
        <w:rPr>
          <w:rFonts w:hint="eastAsia"/>
        </w:rPr>
        <w:t>2</w:t>
      </w:r>
      <w:r>
        <w:rPr>
          <w:rFonts w:hint="eastAsia"/>
          <w:lang w:val="en-US" w:eastAsia="zh-CN"/>
        </w:rPr>
        <w:t>2</w:t>
      </w:r>
      <w:r>
        <w:t>年</w:t>
      </w:r>
      <w:r>
        <w:rPr>
          <w:rFonts w:hint="eastAsia"/>
          <w:lang w:eastAsia="zh-CN"/>
        </w:rPr>
        <w:t>黄石镇铁炉沟水源地</w:t>
      </w:r>
      <w:r>
        <w:t>水质评估结果</w:t>
      </w:r>
    </w:p>
    <w:tbl>
      <w:tblPr>
        <w:tblStyle w:val="27"/>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9"/>
        <w:gridCol w:w="1961"/>
        <w:gridCol w:w="1830"/>
      </w:tblGrid>
      <w:tr w14:paraId="2AF3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6" w:type="pct"/>
            <w:shd w:val="clear" w:color="auto" w:fill="auto"/>
            <w:vAlign w:val="center"/>
          </w:tcPr>
          <w:p w14:paraId="5BB40693">
            <w:pPr>
              <w:pStyle w:val="68"/>
              <w:pageBreakBefore w:val="0"/>
              <w:widowControl w:val="0"/>
              <w:kinsoku/>
              <w:bidi w:val="0"/>
              <w:spacing w:beforeAutospacing="0" w:afterAutospacing="0"/>
              <w:ind w:left="0"/>
              <w:rPr>
                <w:b/>
                <w:bCs/>
              </w:rPr>
            </w:pPr>
            <w:bookmarkStart w:id="66" w:name="_Hlk43921481"/>
            <w:r>
              <w:rPr>
                <w:b/>
                <w:bCs/>
              </w:rPr>
              <w:t>水源地名称</w:t>
            </w:r>
          </w:p>
        </w:tc>
        <w:tc>
          <w:tcPr>
            <w:tcW w:w="1181" w:type="pct"/>
            <w:vAlign w:val="center"/>
          </w:tcPr>
          <w:p w14:paraId="5C4263B8">
            <w:pPr>
              <w:pStyle w:val="68"/>
              <w:pageBreakBefore w:val="0"/>
              <w:widowControl w:val="0"/>
              <w:kinsoku/>
              <w:bidi w:val="0"/>
              <w:spacing w:beforeAutospacing="0" w:afterAutospacing="0"/>
              <w:ind w:left="0"/>
              <w:rPr>
                <w:b/>
                <w:bCs/>
              </w:rPr>
            </w:pPr>
            <w:r>
              <w:rPr>
                <w:b/>
                <w:bCs/>
              </w:rPr>
              <w:t>水源地类型</w:t>
            </w:r>
          </w:p>
        </w:tc>
        <w:tc>
          <w:tcPr>
            <w:tcW w:w="1102" w:type="pct"/>
            <w:shd w:val="clear" w:color="auto" w:fill="auto"/>
            <w:vAlign w:val="center"/>
          </w:tcPr>
          <w:p w14:paraId="6626B8D6">
            <w:pPr>
              <w:pStyle w:val="68"/>
              <w:pageBreakBefore w:val="0"/>
              <w:widowControl w:val="0"/>
              <w:kinsoku/>
              <w:bidi w:val="0"/>
              <w:spacing w:beforeAutospacing="0" w:afterAutospacing="0"/>
              <w:ind w:left="0"/>
              <w:rPr>
                <w:b/>
                <w:bCs/>
              </w:rPr>
            </w:pPr>
            <w:r>
              <w:rPr>
                <w:b/>
                <w:bCs/>
              </w:rPr>
              <w:t>超标因子</w:t>
            </w:r>
          </w:p>
        </w:tc>
      </w:tr>
      <w:tr w14:paraId="2579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6" w:type="pct"/>
            <w:shd w:val="clear" w:color="auto" w:fill="auto"/>
            <w:vAlign w:val="center"/>
          </w:tcPr>
          <w:p w14:paraId="397BECB1">
            <w:pPr>
              <w:pStyle w:val="68"/>
              <w:pageBreakBefore w:val="0"/>
              <w:widowControl w:val="0"/>
              <w:kinsoku/>
              <w:bidi w:val="0"/>
              <w:spacing w:beforeAutospacing="0" w:afterAutospacing="0"/>
              <w:ind w:left="0"/>
              <w:rPr>
                <w:rFonts w:hint="default" w:eastAsiaTheme="minorEastAsia"/>
                <w:lang w:val="en-US" w:eastAsia="zh-CN"/>
              </w:rPr>
            </w:pPr>
            <w:r>
              <w:rPr>
                <w:rFonts w:hint="eastAsia"/>
                <w:lang w:eastAsia="zh-CN"/>
              </w:rPr>
              <w:t>黄石镇铁炉沟集中式饮用水水源地</w:t>
            </w:r>
          </w:p>
        </w:tc>
        <w:tc>
          <w:tcPr>
            <w:tcW w:w="1181" w:type="pct"/>
            <w:vAlign w:val="center"/>
          </w:tcPr>
          <w:p w14:paraId="27EEA795">
            <w:pPr>
              <w:pStyle w:val="68"/>
              <w:pageBreakBefore w:val="0"/>
              <w:widowControl w:val="0"/>
              <w:kinsoku/>
              <w:bidi w:val="0"/>
              <w:spacing w:beforeAutospacing="0" w:afterAutospacing="0"/>
              <w:ind w:left="0"/>
              <w:rPr>
                <w:rFonts w:hint="eastAsia" w:eastAsia="宋体"/>
                <w:kern w:val="0"/>
                <w:lang w:eastAsia="zh-CN"/>
              </w:rPr>
            </w:pPr>
            <w:r>
              <w:rPr>
                <w:rFonts w:hint="eastAsia" w:eastAsia="宋体"/>
                <w:kern w:val="0"/>
                <w:lang w:val="en-US" w:eastAsia="zh-CN"/>
              </w:rPr>
              <w:t>河流型</w:t>
            </w:r>
          </w:p>
        </w:tc>
        <w:tc>
          <w:tcPr>
            <w:tcW w:w="1102" w:type="pct"/>
            <w:shd w:val="clear" w:color="auto" w:fill="auto"/>
            <w:vAlign w:val="center"/>
          </w:tcPr>
          <w:p w14:paraId="6007B3A9">
            <w:pPr>
              <w:pStyle w:val="68"/>
              <w:pageBreakBefore w:val="0"/>
              <w:widowControl w:val="0"/>
              <w:kinsoku/>
              <w:bidi w:val="0"/>
              <w:spacing w:beforeAutospacing="0" w:afterAutospacing="0"/>
              <w:ind w:left="0"/>
              <w:jc w:val="center"/>
            </w:pPr>
            <w:r>
              <w:rPr>
                <w:rFonts w:hint="eastAsia" w:ascii="Times New Roman" w:hAnsi="Times New Roman" w:eastAsia="宋体" w:cs="Times New Roman"/>
                <w:szCs w:val="28"/>
                <w:lang w:val="en-US" w:eastAsia="zh-CN"/>
              </w:rPr>
              <w:t>总磷</w:t>
            </w:r>
          </w:p>
        </w:tc>
      </w:tr>
      <w:bookmarkEnd w:id="66"/>
    </w:tbl>
    <w:p w14:paraId="36159E04">
      <w:pPr>
        <w:pStyle w:val="9"/>
        <w:pageBreakBefore w:val="0"/>
        <w:widowControl w:val="0"/>
        <w:kinsoku/>
        <w:bidi w:val="0"/>
        <w:spacing w:before="0" w:beforeAutospacing="0" w:after="0" w:afterAutospacing="0"/>
        <w:ind w:left="0"/>
      </w:pPr>
      <w:bookmarkStart w:id="67" w:name="_Toc43925464"/>
      <w:bookmarkStart w:id="68" w:name="_Toc41765781"/>
      <w:bookmarkStart w:id="69" w:name="_Toc990"/>
      <w:r>
        <w:rPr>
          <w:rFonts w:hint="eastAsia"/>
          <w:lang w:eastAsia="zh-CN"/>
        </w:rPr>
        <w:t>黄石镇铁炉沟集中式饮用水水源地</w:t>
      </w:r>
      <w:r>
        <w:t>污染现状调查</w:t>
      </w:r>
      <w:bookmarkEnd w:id="67"/>
      <w:bookmarkEnd w:id="68"/>
      <w:bookmarkEnd w:id="69"/>
    </w:p>
    <w:p w14:paraId="46260309">
      <w:pPr>
        <w:pStyle w:val="11"/>
        <w:pageBreakBefore w:val="0"/>
        <w:widowControl w:val="0"/>
        <w:kinsoku/>
        <w:bidi w:val="0"/>
        <w:spacing w:before="0" w:beforeAutospacing="0" w:after="0" w:afterAutospacing="0"/>
        <w:ind w:left="0"/>
      </w:pPr>
      <w:bookmarkStart w:id="70" w:name="_Toc43925465"/>
      <w:bookmarkStart w:id="71" w:name="_Toc21468"/>
      <w:bookmarkStart w:id="72" w:name="_Toc41765782"/>
      <w:r>
        <w:t>外源性污染调查与污染物负荷估算</w:t>
      </w:r>
      <w:bookmarkEnd w:id="70"/>
      <w:bookmarkEnd w:id="71"/>
      <w:bookmarkEnd w:id="72"/>
    </w:p>
    <w:p w14:paraId="73090614">
      <w:pPr>
        <w:pageBreakBefore w:val="0"/>
        <w:widowControl w:val="0"/>
        <w:kinsoku/>
        <w:bidi w:val="0"/>
        <w:spacing w:beforeAutospacing="0" w:afterAutospacing="0"/>
        <w:ind w:left="0" w:firstLine="480"/>
        <w:rPr>
          <w:rFonts w:ascii="Times New Roman"/>
        </w:rPr>
      </w:pPr>
      <w:r>
        <w:rPr>
          <w:rFonts w:hint="eastAsia" w:ascii="Times New Roman"/>
          <w:lang w:eastAsia="zh-CN"/>
        </w:rPr>
        <w:t>黄石镇铁炉沟黄石水厂水源地一级保护区面积为</w:t>
      </w:r>
      <w:r>
        <w:rPr>
          <w:rFonts w:hint="eastAsia" w:ascii="Times New Roman"/>
          <w:lang w:val="en-US" w:eastAsia="zh-CN"/>
        </w:rPr>
        <w:t>0.084633km</w:t>
      </w:r>
      <w:r>
        <w:rPr>
          <w:rFonts w:hint="eastAsia" w:ascii="Times New Roman"/>
          <w:vertAlign w:val="superscript"/>
          <w:lang w:val="en-US" w:eastAsia="zh-CN"/>
        </w:rPr>
        <w:t>2</w:t>
      </w:r>
      <w:r>
        <w:rPr>
          <w:rFonts w:hint="eastAsia" w:ascii="Times New Roman"/>
          <w:lang w:val="en-US" w:eastAsia="zh-CN"/>
        </w:rPr>
        <w:t>。</w:t>
      </w:r>
      <w:r>
        <w:rPr>
          <w:rFonts w:ascii="Times New Roman"/>
        </w:rPr>
        <w:t>根据</w:t>
      </w:r>
      <w:r>
        <w:rPr>
          <w:rFonts w:hint="eastAsia" w:ascii="Times New Roman"/>
          <w:lang w:eastAsia="zh-CN"/>
        </w:rPr>
        <w:t>黄石镇铁炉沟黄石水厂水源地</w:t>
      </w:r>
      <w:r>
        <w:rPr>
          <w:rFonts w:ascii="Times New Roman"/>
        </w:rPr>
        <w:t>实际情况，调查组通过资料收集及分析、现场踏勘、污染源排查等方式对污染源进行了全面调查。</w:t>
      </w:r>
    </w:p>
    <w:p w14:paraId="06AC7612">
      <w:pPr>
        <w:pStyle w:val="10"/>
        <w:pageBreakBefore w:val="0"/>
        <w:widowControl w:val="0"/>
        <w:kinsoku/>
        <w:bidi w:val="0"/>
        <w:spacing w:before="0" w:beforeAutospacing="0" w:after="0" w:afterAutospacing="0"/>
        <w:ind w:left="0"/>
      </w:pPr>
      <w:bookmarkStart w:id="73" w:name="_Toc41765783"/>
      <w:bookmarkStart w:id="74" w:name="_Toc43925466"/>
      <w:bookmarkStart w:id="75" w:name="_Toc15684"/>
      <w:r>
        <w:t>工业源调查</w:t>
      </w:r>
      <w:bookmarkEnd w:id="73"/>
      <w:bookmarkEnd w:id="74"/>
      <w:bookmarkEnd w:id="75"/>
    </w:p>
    <w:p w14:paraId="3899FF59">
      <w:pPr>
        <w:pageBreakBefore w:val="0"/>
        <w:widowControl w:val="0"/>
        <w:kinsoku/>
        <w:bidi w:val="0"/>
        <w:spacing w:beforeAutospacing="0" w:afterAutospacing="0"/>
        <w:ind w:left="0" w:firstLine="480"/>
        <w:rPr>
          <w:rFonts w:ascii="Times New Roman"/>
        </w:rPr>
      </w:pPr>
      <w:r>
        <w:rPr>
          <w:rFonts w:hint="eastAsia" w:ascii="Times New Roman"/>
          <w:lang w:eastAsia="zh-CN"/>
        </w:rPr>
        <w:t>黄石镇铁炉沟集中式饮用水水源地</w:t>
      </w:r>
      <w:r>
        <w:rPr>
          <w:rFonts w:ascii="Times New Roman"/>
        </w:rPr>
        <w:t>集雨范围内无工业污染源，故不进行工业源污染负荷估算。</w:t>
      </w:r>
    </w:p>
    <w:p w14:paraId="2A73F7EC">
      <w:pPr>
        <w:pStyle w:val="10"/>
        <w:pageBreakBefore w:val="0"/>
        <w:widowControl w:val="0"/>
        <w:kinsoku/>
        <w:bidi w:val="0"/>
        <w:spacing w:before="0" w:beforeAutospacing="0" w:after="0" w:afterAutospacing="0"/>
        <w:ind w:left="0"/>
      </w:pPr>
      <w:bookmarkStart w:id="76" w:name="_Toc43925467"/>
      <w:bookmarkStart w:id="77" w:name="_Toc15953"/>
      <w:bookmarkStart w:id="78" w:name="_Toc41765784"/>
      <w:r>
        <w:t>生活源调查</w:t>
      </w:r>
      <w:bookmarkEnd w:id="76"/>
      <w:bookmarkEnd w:id="77"/>
      <w:bookmarkEnd w:id="78"/>
    </w:p>
    <w:p w14:paraId="0DFD9AFF">
      <w:pPr>
        <w:pageBreakBefore w:val="0"/>
        <w:widowControl w:val="0"/>
        <w:kinsoku/>
        <w:bidi w:val="0"/>
        <w:spacing w:beforeAutospacing="0" w:afterAutospacing="0"/>
        <w:ind w:left="0" w:firstLine="480"/>
        <w:rPr>
          <w:rFonts w:hint="eastAsia" w:ascii="Times New Roman"/>
          <w:szCs w:val="28"/>
          <w:lang w:val="en-US" w:eastAsia="zh-CN"/>
        </w:rPr>
      </w:pPr>
      <w:r>
        <w:rPr>
          <w:rFonts w:hint="eastAsia" w:ascii="Times New Roman"/>
          <w:lang w:eastAsia="zh-CN"/>
        </w:rPr>
        <w:t>黄石镇铁炉沟黄石水厂</w:t>
      </w:r>
      <w:r>
        <w:rPr>
          <w:rFonts w:hint="eastAsia" w:ascii="Times New Roman"/>
        </w:rPr>
        <w:t>水源地</w:t>
      </w:r>
      <w:r>
        <w:rPr>
          <w:rFonts w:ascii="Times New Roman"/>
        </w:rPr>
        <w:t>集雨范围内</w:t>
      </w:r>
      <w:r>
        <w:rPr>
          <w:rFonts w:hint="eastAsia" w:ascii="Times New Roman"/>
          <w:lang w:val="en-US" w:eastAsia="zh-CN"/>
        </w:rPr>
        <w:t>无</w:t>
      </w:r>
      <w:r>
        <w:rPr>
          <w:rFonts w:ascii="Times New Roman"/>
        </w:rPr>
        <w:t>居民居住</w:t>
      </w:r>
      <w:r>
        <w:rPr>
          <w:rFonts w:hint="eastAsia" w:ascii="Times New Roman"/>
        </w:rPr>
        <w:t>，</w:t>
      </w:r>
      <w:r>
        <w:rPr>
          <w:rFonts w:hint="eastAsia" w:ascii="Times New Roman"/>
          <w:lang w:val="en-US" w:eastAsia="zh-CN"/>
        </w:rPr>
        <w:t>边缘有4</w:t>
      </w:r>
      <w:r>
        <w:rPr>
          <w:rFonts w:ascii="Times New Roman"/>
        </w:rPr>
        <w:t>户</w:t>
      </w:r>
      <w:r>
        <w:rPr>
          <w:rFonts w:hint="eastAsia" w:ascii="Times New Roman"/>
          <w:lang w:val="en-US" w:eastAsia="zh-CN"/>
        </w:rPr>
        <w:t>居住</w:t>
      </w:r>
      <w:r>
        <w:rPr>
          <w:rFonts w:ascii="Times New Roman"/>
        </w:rPr>
        <w:t>，计</w:t>
      </w:r>
      <w:r>
        <w:rPr>
          <w:rFonts w:hint="eastAsia" w:ascii="Times New Roman"/>
          <w:lang w:val="en-US" w:eastAsia="zh-CN"/>
        </w:rPr>
        <w:t>13</w:t>
      </w:r>
      <w:r>
        <w:rPr>
          <w:rFonts w:ascii="Times New Roman"/>
        </w:rPr>
        <w:t>人</w:t>
      </w:r>
      <w:r>
        <w:rPr>
          <w:rFonts w:hint="eastAsia" w:ascii="Times New Roman"/>
        </w:rPr>
        <w:t>，总体呈分散式布局</w:t>
      </w:r>
      <w:r>
        <w:rPr>
          <w:rFonts w:ascii="Times New Roman"/>
        </w:rPr>
        <w:t>。农户产生的生活污水主要通过粪池收集处理，不存在直接排入</w:t>
      </w:r>
      <w:r>
        <w:rPr>
          <w:rFonts w:hint="eastAsia" w:ascii="Times New Roman"/>
          <w:lang w:eastAsia="zh-CN"/>
        </w:rPr>
        <w:t>水源地</w:t>
      </w:r>
      <w:r>
        <w:rPr>
          <w:rFonts w:ascii="Times New Roman"/>
        </w:rPr>
        <w:t>的现象</w:t>
      </w:r>
      <w:r>
        <w:rPr>
          <w:rFonts w:hint="eastAsia" w:ascii="Times New Roman"/>
          <w:szCs w:val="28"/>
          <w:lang w:val="en-US" w:eastAsia="zh-CN"/>
        </w:rPr>
        <w:t>。现场调查发现，水站集水区域范围内未发现有分散垃圾收集点。</w:t>
      </w:r>
    </w:p>
    <w:p w14:paraId="128BC7ED">
      <w:pPr>
        <w:pageBreakBefore w:val="0"/>
        <w:widowControl w:val="0"/>
        <w:kinsoku/>
        <w:bidi w:val="0"/>
        <w:spacing w:beforeAutospacing="0" w:afterAutospacing="0"/>
        <w:ind w:left="0" w:firstLine="480"/>
        <w:rPr>
          <w:rFonts w:hint="eastAsia" w:ascii="Times New Roman"/>
          <w:szCs w:val="28"/>
          <w:lang w:val="en-US" w:eastAsia="zh-CN"/>
        </w:rPr>
      </w:pPr>
      <w:r>
        <w:rPr>
          <w:rFonts w:hint="eastAsia" w:ascii="Times New Roman"/>
          <w:szCs w:val="28"/>
          <w:lang w:val="en-US" w:eastAsia="zh-CN"/>
        </w:rPr>
        <w:t>根据全国污染源普查排污系数手册，结合当地具体情况，每人每天生活污水排放系数按50L/d计算，</w:t>
      </w:r>
      <w:r>
        <w:rPr>
          <w:rFonts w:hint="eastAsia" w:ascii="Times New Roman"/>
          <w:lang w:eastAsia="zh-CN"/>
        </w:rPr>
        <w:t>黄石镇铁炉沟黄石水厂水源地</w:t>
      </w:r>
      <w:r>
        <w:rPr>
          <w:rFonts w:hint="eastAsia" w:ascii="Times New Roman"/>
          <w:szCs w:val="28"/>
          <w:lang w:val="en-US" w:eastAsia="zh-CN"/>
        </w:rPr>
        <w:t>集雨范围内产生的生活污水量为236.6m</w:t>
      </w:r>
      <w:r>
        <w:rPr>
          <w:rFonts w:hint="eastAsia" w:ascii="Times New Roman"/>
          <w:szCs w:val="28"/>
          <w:vertAlign w:val="superscript"/>
          <w:lang w:val="en-US" w:eastAsia="zh-CN"/>
        </w:rPr>
        <w:t>3</w:t>
      </w:r>
      <w:r>
        <w:rPr>
          <w:rFonts w:hint="eastAsia" w:ascii="Times New Roman"/>
          <w:szCs w:val="28"/>
          <w:lang w:val="en-US" w:eastAsia="zh-CN"/>
        </w:rPr>
        <w:t>/a。根据重庆地区农村生活污水水质情况，取COD350mg/L，NH3-N 30mg/L，TN45mg/L，TP3.5mg/L进行测算，生活污水产生的污染负荷如</w:t>
      </w:r>
      <w:r>
        <w:rPr>
          <w:rFonts w:hint="eastAsia" w:ascii="Times New Roman"/>
          <w:szCs w:val="28"/>
          <w:lang w:val="en-US" w:eastAsia="zh-CN"/>
        </w:rPr>
        <w:fldChar w:fldCharType="begin"/>
      </w:r>
      <w:r>
        <w:rPr>
          <w:rFonts w:hint="eastAsia" w:ascii="Times New Roman"/>
          <w:szCs w:val="28"/>
          <w:lang w:val="en-US" w:eastAsia="zh-CN"/>
        </w:rPr>
        <w:instrText xml:space="preserve"> REF _Ref43970106 \h  \* MERGEFORMAT </w:instrText>
      </w:r>
      <w:r>
        <w:rPr>
          <w:rFonts w:hint="eastAsia" w:ascii="Times New Roman"/>
          <w:szCs w:val="28"/>
          <w:lang w:val="en-US" w:eastAsia="zh-CN"/>
        </w:rPr>
        <w:fldChar w:fldCharType="separate"/>
      </w:r>
      <w:r>
        <w:rPr>
          <w:rFonts w:hint="eastAsia" w:ascii="Times New Roman"/>
          <w:szCs w:val="28"/>
          <w:lang w:val="en-US" w:eastAsia="zh-CN"/>
        </w:rPr>
        <w:t>表5</w:t>
      </w:r>
      <w:r>
        <w:rPr>
          <w:rFonts w:hint="eastAsia" w:ascii="Times New Roman"/>
          <w:szCs w:val="28"/>
          <w:lang w:val="en-US" w:eastAsia="zh-CN"/>
        </w:rPr>
        <w:noBreakHyphen/>
      </w:r>
      <w:r>
        <w:rPr>
          <w:rFonts w:hint="eastAsia" w:ascii="Times New Roman"/>
          <w:szCs w:val="28"/>
          <w:lang w:val="en-US" w:eastAsia="zh-CN"/>
        </w:rPr>
        <w:t>1</w:t>
      </w:r>
      <w:r>
        <w:rPr>
          <w:rFonts w:hint="eastAsia" w:ascii="Times New Roman"/>
          <w:szCs w:val="28"/>
          <w:lang w:val="en-US" w:eastAsia="zh-CN"/>
        </w:rPr>
        <w:fldChar w:fldCharType="end"/>
      </w:r>
      <w:r>
        <w:rPr>
          <w:rFonts w:hint="eastAsia" w:ascii="Times New Roman"/>
          <w:szCs w:val="28"/>
          <w:lang w:val="en-US" w:eastAsia="zh-CN"/>
        </w:rPr>
        <w:t>所示。</w:t>
      </w:r>
    </w:p>
    <w:p w14:paraId="59159D69">
      <w:pPr>
        <w:pStyle w:val="62"/>
        <w:pageBreakBefore w:val="0"/>
        <w:widowControl w:val="0"/>
        <w:kinsoku/>
        <w:bidi w:val="0"/>
        <w:spacing w:beforeAutospacing="0" w:afterAutospacing="0"/>
        <w:ind w:left="0"/>
      </w:pPr>
      <w:bookmarkStart w:id="79" w:name="_Ref43970106"/>
      <w:r>
        <w:rPr>
          <w:rFonts w:hint="eastAsia" w:ascii="黑体" w:hAnsi="黑体"/>
        </w:rPr>
        <w:t xml:space="preserve">表 </w:t>
      </w:r>
      <w:r>
        <w:rPr>
          <w:rFonts w:ascii="黑体" w:hAnsi="黑体"/>
        </w:rPr>
        <w:fldChar w:fldCharType="begin"/>
      </w:r>
      <w:r>
        <w:rPr>
          <w:rFonts w:hint="eastAsia" w:ascii="黑体" w:hAnsi="黑体"/>
        </w:rPr>
        <w:instrText xml:space="preserve">STYLEREF 1 \s</w:instrText>
      </w:r>
      <w:r>
        <w:rPr>
          <w:rFonts w:ascii="黑体" w:hAnsi="黑体"/>
        </w:rPr>
        <w:fldChar w:fldCharType="separate"/>
      </w:r>
      <w:r>
        <w:rPr>
          <w:rFonts w:ascii="黑体" w:hAnsi="黑体"/>
        </w:rPr>
        <w:t>5</w:t>
      </w:r>
      <w:r>
        <w:rPr>
          <w:rFonts w:ascii="黑体" w:hAnsi="黑体"/>
        </w:rPr>
        <w:fldChar w:fldCharType="end"/>
      </w:r>
      <w:bookmarkEnd w:id="79"/>
      <w:r>
        <w:rPr>
          <w:rFonts w:hint="eastAsia" w:ascii="黑体" w:hAnsi="黑体"/>
          <w:lang w:val="en-US" w:eastAsia="zh-CN"/>
        </w:rPr>
        <w:t>-1</w:t>
      </w:r>
      <w:r>
        <w:t>生活污水污染负荷计算结果</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31"/>
        <w:gridCol w:w="1421"/>
        <w:gridCol w:w="1421"/>
        <w:gridCol w:w="1421"/>
        <w:gridCol w:w="1449"/>
      </w:tblGrid>
      <w:tr w14:paraId="6F81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47" w:type="dxa"/>
            <w:vMerge w:val="restart"/>
            <w:vAlign w:val="center"/>
          </w:tcPr>
          <w:p w14:paraId="663A0A93">
            <w:pPr>
              <w:pStyle w:val="68"/>
              <w:pageBreakBefore w:val="0"/>
              <w:widowControl w:val="0"/>
              <w:kinsoku/>
              <w:bidi w:val="0"/>
              <w:spacing w:beforeAutospacing="0" w:afterAutospacing="0"/>
              <w:ind w:left="0"/>
              <w:rPr>
                <w:b/>
                <w:bCs/>
              </w:rPr>
            </w:pPr>
            <w:r>
              <w:rPr>
                <w:b/>
                <w:bCs/>
              </w:rPr>
              <w:t>农村居民人口数（人）</w:t>
            </w:r>
          </w:p>
        </w:tc>
        <w:tc>
          <w:tcPr>
            <w:tcW w:w="1547" w:type="dxa"/>
            <w:vMerge w:val="restart"/>
            <w:vAlign w:val="center"/>
          </w:tcPr>
          <w:p w14:paraId="21A5D3D1">
            <w:pPr>
              <w:pStyle w:val="68"/>
              <w:pageBreakBefore w:val="0"/>
              <w:widowControl w:val="0"/>
              <w:kinsoku/>
              <w:bidi w:val="0"/>
              <w:spacing w:beforeAutospacing="0" w:afterAutospacing="0"/>
              <w:ind w:left="0"/>
              <w:rPr>
                <w:b/>
                <w:bCs/>
              </w:rPr>
            </w:pPr>
            <w:r>
              <w:rPr>
                <w:b/>
                <w:bCs/>
              </w:rPr>
              <w:t>污水量（m</w:t>
            </w:r>
            <w:r>
              <w:rPr>
                <w:b/>
                <w:bCs/>
                <w:vertAlign w:val="superscript"/>
              </w:rPr>
              <w:t>3</w:t>
            </w:r>
            <w:r>
              <w:rPr>
                <w:b/>
                <w:bCs/>
              </w:rPr>
              <w:t>/a）</w:t>
            </w:r>
          </w:p>
        </w:tc>
        <w:tc>
          <w:tcPr>
            <w:tcW w:w="6192" w:type="dxa"/>
            <w:gridSpan w:val="4"/>
            <w:vAlign w:val="center"/>
          </w:tcPr>
          <w:p w14:paraId="7CA4610E">
            <w:pPr>
              <w:pStyle w:val="68"/>
              <w:pageBreakBefore w:val="0"/>
              <w:widowControl w:val="0"/>
              <w:kinsoku/>
              <w:bidi w:val="0"/>
              <w:spacing w:beforeAutospacing="0" w:afterAutospacing="0"/>
              <w:ind w:left="0"/>
              <w:rPr>
                <w:b/>
                <w:bCs/>
              </w:rPr>
            </w:pPr>
            <w:r>
              <w:rPr>
                <w:b/>
                <w:bCs/>
              </w:rPr>
              <w:t>污染负荷产生量（t/a）</w:t>
            </w:r>
          </w:p>
        </w:tc>
      </w:tr>
      <w:tr w14:paraId="2945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47" w:type="dxa"/>
            <w:vMerge w:val="continue"/>
            <w:vAlign w:val="center"/>
          </w:tcPr>
          <w:p w14:paraId="0D27BFBF">
            <w:pPr>
              <w:pStyle w:val="68"/>
              <w:pageBreakBefore w:val="0"/>
              <w:widowControl w:val="0"/>
              <w:kinsoku/>
              <w:bidi w:val="0"/>
              <w:spacing w:beforeAutospacing="0" w:afterAutospacing="0"/>
              <w:ind w:left="0"/>
              <w:rPr>
                <w:b/>
                <w:bCs/>
              </w:rPr>
            </w:pPr>
          </w:p>
        </w:tc>
        <w:tc>
          <w:tcPr>
            <w:tcW w:w="1547" w:type="dxa"/>
            <w:vMerge w:val="continue"/>
            <w:vAlign w:val="center"/>
          </w:tcPr>
          <w:p w14:paraId="3BC35FC3">
            <w:pPr>
              <w:pStyle w:val="68"/>
              <w:pageBreakBefore w:val="0"/>
              <w:widowControl w:val="0"/>
              <w:kinsoku/>
              <w:bidi w:val="0"/>
              <w:spacing w:beforeAutospacing="0" w:afterAutospacing="0"/>
              <w:ind w:left="0"/>
              <w:rPr>
                <w:b/>
                <w:bCs/>
              </w:rPr>
            </w:pPr>
          </w:p>
        </w:tc>
        <w:tc>
          <w:tcPr>
            <w:tcW w:w="1548" w:type="dxa"/>
            <w:vAlign w:val="center"/>
          </w:tcPr>
          <w:p w14:paraId="0669C97D">
            <w:pPr>
              <w:pStyle w:val="68"/>
              <w:pageBreakBefore w:val="0"/>
              <w:widowControl w:val="0"/>
              <w:kinsoku/>
              <w:bidi w:val="0"/>
              <w:spacing w:beforeAutospacing="0" w:afterAutospacing="0"/>
              <w:ind w:left="0"/>
              <w:rPr>
                <w:b/>
                <w:bCs/>
              </w:rPr>
            </w:pPr>
            <w:r>
              <w:rPr>
                <w:b/>
                <w:bCs/>
              </w:rPr>
              <w:t>COD</w:t>
            </w:r>
          </w:p>
        </w:tc>
        <w:tc>
          <w:tcPr>
            <w:tcW w:w="1548" w:type="dxa"/>
            <w:vAlign w:val="center"/>
          </w:tcPr>
          <w:p w14:paraId="46EB6504">
            <w:pPr>
              <w:pStyle w:val="68"/>
              <w:pageBreakBefore w:val="0"/>
              <w:widowControl w:val="0"/>
              <w:kinsoku/>
              <w:bidi w:val="0"/>
              <w:spacing w:beforeAutospacing="0" w:afterAutospacing="0"/>
              <w:ind w:left="0"/>
              <w:rPr>
                <w:b/>
                <w:bCs/>
              </w:rPr>
            </w:pPr>
            <w:r>
              <w:rPr>
                <w:b/>
                <w:bCs/>
              </w:rPr>
              <w:t>NH</w:t>
            </w:r>
            <w:r>
              <w:rPr>
                <w:b/>
                <w:bCs/>
                <w:vertAlign w:val="subscript"/>
              </w:rPr>
              <w:t>3</w:t>
            </w:r>
            <w:r>
              <w:rPr>
                <w:b/>
                <w:bCs/>
              </w:rPr>
              <w:t>-N</w:t>
            </w:r>
          </w:p>
        </w:tc>
        <w:tc>
          <w:tcPr>
            <w:tcW w:w="1548" w:type="dxa"/>
            <w:vAlign w:val="center"/>
          </w:tcPr>
          <w:p w14:paraId="300C32F8">
            <w:pPr>
              <w:pStyle w:val="68"/>
              <w:pageBreakBefore w:val="0"/>
              <w:widowControl w:val="0"/>
              <w:kinsoku/>
              <w:bidi w:val="0"/>
              <w:spacing w:beforeAutospacing="0" w:afterAutospacing="0"/>
              <w:ind w:left="0"/>
              <w:rPr>
                <w:b/>
                <w:bCs/>
              </w:rPr>
            </w:pPr>
            <w:r>
              <w:rPr>
                <w:b/>
                <w:bCs/>
              </w:rPr>
              <w:t>TN</w:t>
            </w:r>
          </w:p>
        </w:tc>
        <w:tc>
          <w:tcPr>
            <w:tcW w:w="1548" w:type="dxa"/>
            <w:vAlign w:val="center"/>
          </w:tcPr>
          <w:p w14:paraId="1746767B">
            <w:pPr>
              <w:pStyle w:val="68"/>
              <w:pageBreakBefore w:val="0"/>
              <w:widowControl w:val="0"/>
              <w:kinsoku/>
              <w:bidi w:val="0"/>
              <w:spacing w:beforeAutospacing="0" w:afterAutospacing="0"/>
              <w:ind w:left="0"/>
              <w:rPr>
                <w:b/>
                <w:bCs/>
              </w:rPr>
            </w:pPr>
            <w:r>
              <w:rPr>
                <w:b/>
                <w:bCs/>
              </w:rPr>
              <w:t>TP</w:t>
            </w:r>
          </w:p>
        </w:tc>
      </w:tr>
      <w:tr w14:paraId="790D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vAlign w:val="center"/>
          </w:tcPr>
          <w:p w14:paraId="38ABA09B">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13</w:t>
            </w:r>
          </w:p>
        </w:tc>
        <w:tc>
          <w:tcPr>
            <w:tcW w:w="1547" w:type="dxa"/>
            <w:vAlign w:val="center"/>
          </w:tcPr>
          <w:p w14:paraId="64F0C888">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236.6</w:t>
            </w:r>
          </w:p>
        </w:tc>
        <w:tc>
          <w:tcPr>
            <w:tcW w:w="1548" w:type="dxa"/>
            <w:vAlign w:val="center"/>
          </w:tcPr>
          <w:p w14:paraId="23457750">
            <w:pPr>
              <w:pStyle w:val="68"/>
              <w:pageBreakBefore w:val="0"/>
              <w:widowControl w:val="0"/>
              <w:kinsoku/>
              <w:bidi w:val="0"/>
              <w:spacing w:beforeAutospacing="0" w:afterAutospacing="0"/>
              <w:ind w:left="0"/>
              <w:rPr>
                <w:rFonts w:hint="default" w:eastAsiaTheme="minorEastAsia"/>
                <w:lang w:val="en-US" w:eastAsia="zh-CN"/>
              </w:rPr>
            </w:pPr>
            <w:r>
              <w:rPr>
                <w:rFonts w:hint="eastAsia"/>
              </w:rPr>
              <w:t>0.</w:t>
            </w:r>
            <w:r>
              <w:rPr>
                <w:rFonts w:hint="eastAsia"/>
                <w:lang w:val="en-US" w:eastAsia="zh-CN"/>
              </w:rPr>
              <w:t>0832</w:t>
            </w:r>
          </w:p>
        </w:tc>
        <w:tc>
          <w:tcPr>
            <w:tcW w:w="1548" w:type="dxa"/>
            <w:vAlign w:val="center"/>
          </w:tcPr>
          <w:p w14:paraId="370BAAEC">
            <w:pPr>
              <w:pStyle w:val="68"/>
              <w:pageBreakBefore w:val="0"/>
              <w:widowControl w:val="0"/>
              <w:kinsoku/>
              <w:bidi w:val="0"/>
              <w:spacing w:beforeAutospacing="0" w:afterAutospacing="0"/>
              <w:ind w:left="0"/>
            </w:pPr>
            <w:r>
              <w:rPr>
                <w:rFonts w:hint="eastAsia"/>
              </w:rPr>
              <w:t>0.</w:t>
            </w:r>
            <w:r>
              <w:rPr>
                <w:rFonts w:hint="eastAsia"/>
                <w:lang w:val="en-US" w:eastAsia="zh-CN"/>
              </w:rPr>
              <w:t>0</w:t>
            </w:r>
            <w:r>
              <w:rPr>
                <w:rFonts w:hint="eastAsia"/>
              </w:rPr>
              <w:t>0</w:t>
            </w:r>
            <w:r>
              <w:rPr>
                <w:rFonts w:hint="eastAsia"/>
                <w:lang w:val="en-US" w:eastAsia="zh-CN"/>
              </w:rPr>
              <w:t>71</w:t>
            </w:r>
            <w:r>
              <w:rPr>
                <w:rFonts w:hint="eastAsia"/>
              </w:rPr>
              <w:t>5</w:t>
            </w:r>
          </w:p>
        </w:tc>
        <w:tc>
          <w:tcPr>
            <w:tcW w:w="1548" w:type="dxa"/>
            <w:vAlign w:val="center"/>
          </w:tcPr>
          <w:p w14:paraId="28F16AEC">
            <w:pPr>
              <w:pStyle w:val="68"/>
              <w:pageBreakBefore w:val="0"/>
              <w:widowControl w:val="0"/>
              <w:kinsoku/>
              <w:bidi w:val="0"/>
              <w:spacing w:beforeAutospacing="0" w:afterAutospacing="0"/>
              <w:ind w:left="0"/>
              <w:rPr>
                <w:rFonts w:hint="default" w:eastAsiaTheme="minorEastAsia"/>
                <w:lang w:val="en-US" w:eastAsia="zh-CN"/>
              </w:rPr>
            </w:pPr>
            <w:r>
              <w:rPr>
                <w:rFonts w:hint="eastAsia"/>
              </w:rPr>
              <w:t>0.</w:t>
            </w:r>
            <w:r>
              <w:rPr>
                <w:rFonts w:hint="eastAsia"/>
                <w:lang w:val="en-US" w:eastAsia="zh-CN"/>
              </w:rPr>
              <w:t>1</w:t>
            </w:r>
            <w:r>
              <w:rPr>
                <w:rFonts w:hint="eastAsia"/>
              </w:rPr>
              <w:t>0</w:t>
            </w:r>
            <w:r>
              <w:rPr>
                <w:rFonts w:hint="eastAsia"/>
                <w:lang w:val="en-US" w:eastAsia="zh-CN"/>
              </w:rPr>
              <w:t>66</w:t>
            </w:r>
          </w:p>
        </w:tc>
        <w:tc>
          <w:tcPr>
            <w:tcW w:w="1548" w:type="dxa"/>
            <w:vAlign w:val="center"/>
          </w:tcPr>
          <w:p w14:paraId="18DFF9E8">
            <w:pPr>
              <w:pStyle w:val="68"/>
              <w:pageBreakBefore w:val="0"/>
              <w:widowControl w:val="0"/>
              <w:kinsoku/>
              <w:bidi w:val="0"/>
              <w:spacing w:beforeAutospacing="0" w:afterAutospacing="0"/>
              <w:ind w:left="0"/>
            </w:pPr>
            <w:r>
              <w:rPr>
                <w:rFonts w:hint="eastAsia"/>
              </w:rPr>
              <w:t>0.0</w:t>
            </w:r>
            <w:r>
              <w:rPr>
                <w:rFonts w:hint="eastAsia"/>
                <w:lang w:val="en-US" w:eastAsia="zh-CN"/>
              </w:rPr>
              <w:t>0</w:t>
            </w:r>
            <w:r>
              <w:rPr>
                <w:rFonts w:hint="eastAsia"/>
              </w:rPr>
              <w:t>0</w:t>
            </w:r>
            <w:r>
              <w:rPr>
                <w:rFonts w:hint="eastAsia"/>
                <w:lang w:val="en-US" w:eastAsia="zh-CN"/>
              </w:rPr>
              <w:t>84</w:t>
            </w:r>
            <w:r>
              <w:rPr>
                <w:rFonts w:hint="eastAsia"/>
              </w:rPr>
              <w:t>5</w:t>
            </w:r>
          </w:p>
        </w:tc>
      </w:tr>
      <w:tr w14:paraId="6875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094" w:type="dxa"/>
            <w:gridSpan w:val="2"/>
            <w:vAlign w:val="center"/>
          </w:tcPr>
          <w:p w14:paraId="0B6C786B">
            <w:pPr>
              <w:pStyle w:val="68"/>
              <w:pageBreakBefore w:val="0"/>
              <w:widowControl w:val="0"/>
              <w:kinsoku/>
              <w:bidi w:val="0"/>
              <w:spacing w:beforeAutospacing="0" w:afterAutospacing="0"/>
              <w:ind w:left="0"/>
            </w:pPr>
            <w:r>
              <w:t>污染物入</w:t>
            </w:r>
            <w:r>
              <w:rPr>
                <w:rFonts w:hint="eastAsia"/>
                <w:lang w:eastAsia="zh-CN"/>
              </w:rPr>
              <w:t>河</w:t>
            </w:r>
            <w:r>
              <w:t>系数</w:t>
            </w:r>
          </w:p>
        </w:tc>
        <w:tc>
          <w:tcPr>
            <w:tcW w:w="6192" w:type="dxa"/>
            <w:gridSpan w:val="4"/>
            <w:vAlign w:val="center"/>
          </w:tcPr>
          <w:p w14:paraId="2E2D1E7A">
            <w:pPr>
              <w:pStyle w:val="68"/>
              <w:pageBreakBefore w:val="0"/>
              <w:widowControl w:val="0"/>
              <w:kinsoku/>
              <w:bidi w:val="0"/>
              <w:spacing w:beforeAutospacing="0" w:afterAutospacing="0"/>
              <w:ind w:left="0"/>
            </w:pPr>
            <w:r>
              <w:t>污染负荷产生量（kg/a）</w:t>
            </w:r>
          </w:p>
        </w:tc>
      </w:tr>
      <w:tr w14:paraId="5AC4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4" w:type="dxa"/>
            <w:gridSpan w:val="2"/>
            <w:vAlign w:val="center"/>
          </w:tcPr>
          <w:p w14:paraId="653E1D96">
            <w:pPr>
              <w:pStyle w:val="68"/>
              <w:pageBreakBefore w:val="0"/>
              <w:widowControl w:val="0"/>
              <w:kinsoku/>
              <w:bidi w:val="0"/>
              <w:spacing w:beforeAutospacing="0" w:afterAutospacing="0"/>
              <w:ind w:left="0"/>
            </w:pPr>
            <w:r>
              <w:t>0.3</w:t>
            </w:r>
          </w:p>
        </w:tc>
        <w:tc>
          <w:tcPr>
            <w:tcW w:w="1548" w:type="dxa"/>
            <w:vAlign w:val="center"/>
          </w:tcPr>
          <w:p w14:paraId="16882467">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24.9106</w:t>
            </w:r>
          </w:p>
        </w:tc>
        <w:tc>
          <w:tcPr>
            <w:tcW w:w="1548" w:type="dxa"/>
            <w:vAlign w:val="center"/>
          </w:tcPr>
          <w:p w14:paraId="7C605B56">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2.1359</w:t>
            </w:r>
          </w:p>
        </w:tc>
        <w:tc>
          <w:tcPr>
            <w:tcW w:w="1548" w:type="dxa"/>
            <w:vAlign w:val="center"/>
          </w:tcPr>
          <w:p w14:paraId="0E282C0C">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32.0281</w:t>
            </w:r>
          </w:p>
        </w:tc>
        <w:tc>
          <w:tcPr>
            <w:tcW w:w="1548" w:type="dxa"/>
            <w:vAlign w:val="center"/>
          </w:tcPr>
          <w:p w14:paraId="12B6898B">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0.2496</w:t>
            </w:r>
          </w:p>
        </w:tc>
      </w:tr>
    </w:tbl>
    <w:p w14:paraId="6FF59E71">
      <w:pPr>
        <w:pageBreakBefore w:val="0"/>
        <w:widowControl w:val="0"/>
        <w:kinsoku/>
        <w:bidi w:val="0"/>
        <w:spacing w:beforeAutospacing="0" w:afterAutospacing="0"/>
        <w:ind w:left="0" w:firstLine="480"/>
        <w:rPr>
          <w:rFonts w:ascii="Times New Roman"/>
        </w:rPr>
      </w:pPr>
      <w:r>
        <w:rPr>
          <w:rFonts w:ascii="Times New Roman"/>
        </w:rPr>
        <w:t>（2）生活垃圾负荷估算</w:t>
      </w:r>
    </w:p>
    <w:p w14:paraId="4B73AD57">
      <w:pPr>
        <w:pageBreakBefore w:val="0"/>
        <w:widowControl w:val="0"/>
        <w:kinsoku/>
        <w:bidi w:val="0"/>
        <w:spacing w:beforeAutospacing="0" w:afterAutospacing="0"/>
        <w:ind w:left="0" w:firstLine="480"/>
        <w:rPr>
          <w:rFonts w:ascii="Times New Roman"/>
        </w:rPr>
      </w:pPr>
      <w:r>
        <w:rPr>
          <w:rFonts w:ascii="Times New Roman"/>
        </w:rPr>
        <w:t>农村人均生活垃圾按0.8kg/（天</w:t>
      </w:r>
      <w:r>
        <w:rPr>
          <w:rFonts w:hint="eastAsia" w:ascii="Times New Roman"/>
        </w:rPr>
        <w:t>·</w:t>
      </w:r>
      <w:r>
        <w:rPr>
          <w:rFonts w:ascii="Times New Roman"/>
        </w:rPr>
        <w:t>人）计算，其中1.0kg生活垃圾折算0.05kgCOD、0.0001kg NH</w:t>
      </w:r>
      <w:r>
        <w:rPr>
          <w:rFonts w:ascii="Times New Roman"/>
          <w:vertAlign w:val="subscript"/>
        </w:rPr>
        <w:t>3</w:t>
      </w:r>
      <w:r>
        <w:rPr>
          <w:rFonts w:ascii="Times New Roman"/>
        </w:rPr>
        <w:t>-N、1.0g TN、0.2g TP，按5%生活垃圾进入</w:t>
      </w:r>
      <w:r>
        <w:rPr>
          <w:rFonts w:hint="eastAsia" w:ascii="Times New Roman"/>
          <w:lang w:eastAsia="zh-CN"/>
        </w:rPr>
        <w:t>河道</w:t>
      </w:r>
      <w:r>
        <w:rPr>
          <w:rFonts w:ascii="Times New Roman"/>
        </w:rPr>
        <w:t>考虑，流域居民点生活垃圾产污量、污染物入</w:t>
      </w:r>
      <w:r>
        <w:rPr>
          <w:rFonts w:hint="eastAsia" w:ascii="Times New Roman"/>
          <w:lang w:eastAsia="zh-CN"/>
        </w:rPr>
        <w:t>河</w:t>
      </w:r>
      <w:r>
        <w:rPr>
          <w:rFonts w:ascii="Times New Roman"/>
        </w:rPr>
        <w:t>量见</w:t>
      </w:r>
      <w:r>
        <w:rPr>
          <w:rFonts w:ascii="Times New Roman"/>
        </w:rPr>
        <w:fldChar w:fldCharType="begin"/>
      </w:r>
      <w:r>
        <w:rPr>
          <w:rFonts w:ascii="Times New Roman"/>
        </w:rPr>
        <w:instrText xml:space="preserve"> REF _Ref43970114 \h  \* MERGEFORMAT </w:instrText>
      </w:r>
      <w:r>
        <w:rPr>
          <w:rFonts w:ascii="Times New Roman"/>
        </w:rPr>
        <w:fldChar w:fldCharType="separate"/>
      </w:r>
      <w:r>
        <w:rPr>
          <w:rFonts w:hint="eastAsia" w:ascii="Times New Roman"/>
        </w:rPr>
        <w:t>表</w:t>
      </w:r>
      <w:r>
        <w:rPr>
          <w:rFonts w:ascii="Times New Roman"/>
        </w:rPr>
        <w:t>5</w:t>
      </w:r>
      <w:r>
        <w:rPr>
          <w:rFonts w:ascii="Times New Roman"/>
        </w:rPr>
        <w:noBreakHyphen/>
      </w:r>
      <w:r>
        <w:rPr>
          <w:rFonts w:ascii="Times New Roman"/>
        </w:rPr>
        <w:t>2</w:t>
      </w:r>
      <w:r>
        <w:rPr>
          <w:rFonts w:ascii="Times New Roman"/>
        </w:rPr>
        <w:fldChar w:fldCharType="end"/>
      </w:r>
      <w:r>
        <w:rPr>
          <w:rFonts w:ascii="Times New Roman"/>
        </w:rPr>
        <w:t>。</w:t>
      </w:r>
    </w:p>
    <w:p w14:paraId="3D579C2A">
      <w:pPr>
        <w:pStyle w:val="62"/>
        <w:pageBreakBefore w:val="0"/>
        <w:widowControl w:val="0"/>
        <w:kinsoku/>
        <w:bidi w:val="0"/>
        <w:spacing w:beforeAutospacing="0" w:afterAutospacing="0"/>
        <w:ind w:left="0"/>
      </w:pPr>
      <w:bookmarkStart w:id="80" w:name="_Ref43970114"/>
      <w:r>
        <w:rPr>
          <w:rFonts w:hint="eastAsia"/>
        </w:rPr>
        <w:t xml:space="preserve">表 </w:t>
      </w:r>
      <w:r>
        <w:fldChar w:fldCharType="begin"/>
      </w:r>
      <w:r>
        <w:rPr>
          <w:rFonts w:hint="eastAsia"/>
        </w:rPr>
        <w:instrText xml:space="preserve">STYLEREF 1 \s</w:instrText>
      </w:r>
      <w:r>
        <w:fldChar w:fldCharType="separate"/>
      </w:r>
      <w:r>
        <w:t>5</w:t>
      </w:r>
      <w:r>
        <w:fldChar w:fldCharType="end"/>
      </w:r>
      <w:r>
        <w:noBreakHyphen/>
      </w:r>
      <w:r>
        <w:fldChar w:fldCharType="begin"/>
      </w:r>
      <w:r>
        <w:rPr>
          <w:rFonts w:hint="eastAsia"/>
        </w:rPr>
        <w:instrText xml:space="preserve">SEQ 表 \* ARABIC \s 1</w:instrText>
      </w:r>
      <w:r>
        <w:fldChar w:fldCharType="separate"/>
      </w:r>
      <w:r>
        <w:t>2</w:t>
      </w:r>
      <w:r>
        <w:fldChar w:fldCharType="end"/>
      </w:r>
      <w:bookmarkEnd w:id="80"/>
      <w:r>
        <w:rPr>
          <w:rFonts w:hint="eastAsia"/>
          <w:lang w:val="en-US" w:eastAsia="zh-CN"/>
        </w:rPr>
        <w:t xml:space="preserve"> </w:t>
      </w:r>
      <w:r>
        <w:t>农村生活垃圾污染负荷</w:t>
      </w:r>
    </w:p>
    <w:tbl>
      <w:tblPr>
        <w:tblStyle w:val="2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1498"/>
        <w:gridCol w:w="1260"/>
        <w:gridCol w:w="1534"/>
        <w:gridCol w:w="1843"/>
      </w:tblGrid>
      <w:tr w14:paraId="7306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pct"/>
            <w:shd w:val="clear" w:color="auto" w:fill="auto"/>
            <w:vAlign w:val="center"/>
          </w:tcPr>
          <w:p w14:paraId="7DCF20B3">
            <w:pPr>
              <w:pStyle w:val="68"/>
              <w:pageBreakBefore w:val="0"/>
              <w:widowControl w:val="0"/>
              <w:kinsoku/>
              <w:bidi w:val="0"/>
              <w:spacing w:beforeAutospacing="0" w:afterAutospacing="0"/>
              <w:ind w:left="0"/>
              <w:rPr>
                <w:b/>
                <w:bCs/>
              </w:rPr>
            </w:pPr>
            <w:r>
              <w:rPr>
                <w:b/>
                <w:bCs/>
              </w:rPr>
              <w:t>污染物</w:t>
            </w:r>
          </w:p>
        </w:tc>
        <w:tc>
          <w:tcPr>
            <w:tcW w:w="888" w:type="pct"/>
            <w:shd w:val="clear" w:color="auto" w:fill="auto"/>
            <w:vAlign w:val="center"/>
          </w:tcPr>
          <w:p w14:paraId="4056E7C3">
            <w:pPr>
              <w:pStyle w:val="68"/>
              <w:pageBreakBefore w:val="0"/>
              <w:widowControl w:val="0"/>
              <w:kinsoku/>
              <w:bidi w:val="0"/>
              <w:spacing w:beforeAutospacing="0" w:afterAutospacing="0"/>
              <w:ind w:left="0"/>
              <w:rPr>
                <w:b/>
                <w:bCs/>
              </w:rPr>
            </w:pPr>
            <w:r>
              <w:rPr>
                <w:b/>
                <w:bCs/>
              </w:rPr>
              <w:t>COD</w:t>
            </w:r>
          </w:p>
        </w:tc>
        <w:tc>
          <w:tcPr>
            <w:tcW w:w="747" w:type="pct"/>
            <w:shd w:val="clear" w:color="auto" w:fill="auto"/>
            <w:vAlign w:val="center"/>
          </w:tcPr>
          <w:p w14:paraId="06510815">
            <w:pPr>
              <w:pStyle w:val="68"/>
              <w:pageBreakBefore w:val="0"/>
              <w:widowControl w:val="0"/>
              <w:kinsoku/>
              <w:bidi w:val="0"/>
              <w:spacing w:beforeAutospacing="0" w:afterAutospacing="0"/>
              <w:ind w:left="0"/>
              <w:rPr>
                <w:b/>
                <w:bCs/>
              </w:rPr>
            </w:pPr>
            <w:r>
              <w:rPr>
                <w:b/>
                <w:bCs/>
              </w:rPr>
              <w:t>NH</w:t>
            </w:r>
            <w:r>
              <w:rPr>
                <w:b/>
                <w:bCs/>
                <w:vertAlign w:val="subscript"/>
              </w:rPr>
              <w:t>3</w:t>
            </w:r>
            <w:r>
              <w:rPr>
                <w:b/>
                <w:bCs/>
              </w:rPr>
              <w:t>-N</w:t>
            </w:r>
          </w:p>
        </w:tc>
        <w:tc>
          <w:tcPr>
            <w:tcW w:w="909" w:type="pct"/>
            <w:shd w:val="clear" w:color="auto" w:fill="auto"/>
            <w:vAlign w:val="center"/>
          </w:tcPr>
          <w:p w14:paraId="12E9EABA">
            <w:pPr>
              <w:pStyle w:val="68"/>
              <w:pageBreakBefore w:val="0"/>
              <w:widowControl w:val="0"/>
              <w:kinsoku/>
              <w:bidi w:val="0"/>
              <w:spacing w:beforeAutospacing="0" w:afterAutospacing="0"/>
              <w:ind w:left="0"/>
              <w:rPr>
                <w:b/>
                <w:bCs/>
              </w:rPr>
            </w:pPr>
            <w:r>
              <w:rPr>
                <w:b/>
                <w:bCs/>
              </w:rPr>
              <w:t>TN</w:t>
            </w:r>
          </w:p>
        </w:tc>
        <w:tc>
          <w:tcPr>
            <w:tcW w:w="1092" w:type="pct"/>
            <w:shd w:val="clear" w:color="auto" w:fill="auto"/>
            <w:vAlign w:val="center"/>
          </w:tcPr>
          <w:p w14:paraId="587B53F3">
            <w:pPr>
              <w:pStyle w:val="68"/>
              <w:pageBreakBefore w:val="0"/>
              <w:widowControl w:val="0"/>
              <w:kinsoku/>
              <w:bidi w:val="0"/>
              <w:spacing w:beforeAutospacing="0" w:afterAutospacing="0"/>
              <w:ind w:left="0"/>
              <w:rPr>
                <w:b/>
                <w:bCs/>
              </w:rPr>
            </w:pPr>
            <w:r>
              <w:rPr>
                <w:b/>
                <w:bCs/>
              </w:rPr>
              <w:t>TP</w:t>
            </w:r>
          </w:p>
        </w:tc>
      </w:tr>
      <w:tr w14:paraId="6767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64" w:type="pct"/>
            <w:shd w:val="clear" w:color="auto" w:fill="auto"/>
            <w:vAlign w:val="center"/>
          </w:tcPr>
          <w:p w14:paraId="7E9FA4EF">
            <w:pPr>
              <w:pStyle w:val="68"/>
              <w:pageBreakBefore w:val="0"/>
              <w:widowControl w:val="0"/>
              <w:kinsoku/>
              <w:bidi w:val="0"/>
              <w:spacing w:beforeAutospacing="0" w:afterAutospacing="0"/>
              <w:ind w:left="0"/>
            </w:pPr>
            <w:r>
              <w:t>产污系数（kg/kg）</w:t>
            </w:r>
          </w:p>
        </w:tc>
        <w:tc>
          <w:tcPr>
            <w:tcW w:w="888" w:type="pct"/>
            <w:shd w:val="clear" w:color="auto" w:fill="auto"/>
            <w:vAlign w:val="center"/>
          </w:tcPr>
          <w:p w14:paraId="050E0483">
            <w:pPr>
              <w:pStyle w:val="68"/>
              <w:pageBreakBefore w:val="0"/>
              <w:widowControl w:val="0"/>
              <w:kinsoku/>
              <w:bidi w:val="0"/>
              <w:spacing w:beforeAutospacing="0" w:afterAutospacing="0"/>
              <w:ind w:left="0"/>
            </w:pPr>
            <w:r>
              <w:t>0.05</w:t>
            </w:r>
          </w:p>
        </w:tc>
        <w:tc>
          <w:tcPr>
            <w:tcW w:w="747" w:type="pct"/>
            <w:shd w:val="clear" w:color="auto" w:fill="auto"/>
            <w:vAlign w:val="center"/>
          </w:tcPr>
          <w:p w14:paraId="0A7E78D7">
            <w:pPr>
              <w:pStyle w:val="68"/>
              <w:pageBreakBefore w:val="0"/>
              <w:widowControl w:val="0"/>
              <w:kinsoku/>
              <w:bidi w:val="0"/>
              <w:spacing w:beforeAutospacing="0" w:afterAutospacing="0"/>
              <w:ind w:left="0"/>
            </w:pPr>
            <w:r>
              <w:t>0.0001</w:t>
            </w:r>
          </w:p>
        </w:tc>
        <w:tc>
          <w:tcPr>
            <w:tcW w:w="909" w:type="pct"/>
            <w:shd w:val="clear" w:color="auto" w:fill="auto"/>
            <w:vAlign w:val="center"/>
          </w:tcPr>
          <w:p w14:paraId="31052E07">
            <w:pPr>
              <w:pStyle w:val="68"/>
              <w:pageBreakBefore w:val="0"/>
              <w:widowControl w:val="0"/>
              <w:kinsoku/>
              <w:bidi w:val="0"/>
              <w:spacing w:beforeAutospacing="0" w:afterAutospacing="0"/>
              <w:ind w:left="0"/>
            </w:pPr>
            <w:r>
              <w:t>0.001</w:t>
            </w:r>
          </w:p>
        </w:tc>
        <w:tc>
          <w:tcPr>
            <w:tcW w:w="1092" w:type="pct"/>
            <w:shd w:val="clear" w:color="auto" w:fill="auto"/>
            <w:vAlign w:val="center"/>
          </w:tcPr>
          <w:p w14:paraId="736EC04C">
            <w:pPr>
              <w:pStyle w:val="68"/>
              <w:pageBreakBefore w:val="0"/>
              <w:widowControl w:val="0"/>
              <w:kinsoku/>
              <w:bidi w:val="0"/>
              <w:spacing w:beforeAutospacing="0" w:afterAutospacing="0"/>
              <w:ind w:left="0"/>
            </w:pPr>
            <w:r>
              <w:t>0.0002</w:t>
            </w:r>
          </w:p>
        </w:tc>
      </w:tr>
      <w:tr w14:paraId="7FD8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64" w:type="pct"/>
            <w:shd w:val="clear" w:color="auto" w:fill="auto"/>
            <w:vAlign w:val="center"/>
          </w:tcPr>
          <w:p w14:paraId="148A1E66">
            <w:pPr>
              <w:pStyle w:val="68"/>
              <w:pageBreakBefore w:val="0"/>
              <w:widowControl w:val="0"/>
              <w:kinsoku/>
              <w:bidi w:val="0"/>
              <w:spacing w:beforeAutospacing="0" w:afterAutospacing="0"/>
              <w:ind w:left="0"/>
            </w:pPr>
            <w:r>
              <w:t>产污量（</w:t>
            </w:r>
            <w:r>
              <w:rPr>
                <w:rFonts w:hint="eastAsia"/>
              </w:rPr>
              <w:t>kg</w:t>
            </w:r>
            <w:r>
              <w:t>/a）</w:t>
            </w:r>
          </w:p>
        </w:tc>
        <w:tc>
          <w:tcPr>
            <w:tcW w:w="888" w:type="pct"/>
            <w:shd w:val="clear" w:color="auto" w:fill="auto"/>
            <w:vAlign w:val="center"/>
          </w:tcPr>
          <w:p w14:paraId="32B6F7F5">
            <w:pPr>
              <w:pStyle w:val="68"/>
              <w:pageBreakBefore w:val="0"/>
              <w:widowControl w:val="0"/>
              <w:kinsoku/>
              <w:bidi w:val="0"/>
              <w:spacing w:beforeAutospacing="0" w:afterAutospacing="0"/>
              <w:ind w:left="0"/>
            </w:pPr>
            <w:r>
              <w:t>1</w:t>
            </w:r>
            <w:r>
              <w:rPr>
                <w:rFonts w:hint="eastAsia"/>
                <w:lang w:val="en-US" w:eastAsia="zh-CN"/>
              </w:rPr>
              <w:t>89.8</w:t>
            </w:r>
          </w:p>
        </w:tc>
        <w:tc>
          <w:tcPr>
            <w:tcW w:w="747" w:type="pct"/>
            <w:shd w:val="clear" w:color="auto" w:fill="auto"/>
            <w:vAlign w:val="center"/>
          </w:tcPr>
          <w:p w14:paraId="2F31A66D">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379.6</w:t>
            </w:r>
          </w:p>
        </w:tc>
        <w:tc>
          <w:tcPr>
            <w:tcW w:w="909" w:type="pct"/>
            <w:shd w:val="clear" w:color="auto" w:fill="auto"/>
            <w:vAlign w:val="center"/>
          </w:tcPr>
          <w:p w14:paraId="13E8F671">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3796</w:t>
            </w:r>
          </w:p>
        </w:tc>
        <w:tc>
          <w:tcPr>
            <w:tcW w:w="1092" w:type="pct"/>
            <w:shd w:val="clear" w:color="auto" w:fill="auto"/>
            <w:vAlign w:val="center"/>
          </w:tcPr>
          <w:p w14:paraId="7E681AB4">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759.2</w:t>
            </w:r>
          </w:p>
        </w:tc>
      </w:tr>
      <w:tr w14:paraId="1969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64" w:type="pct"/>
            <w:shd w:val="clear" w:color="auto" w:fill="auto"/>
            <w:vAlign w:val="center"/>
          </w:tcPr>
          <w:p w14:paraId="023B206A">
            <w:pPr>
              <w:pStyle w:val="68"/>
              <w:pageBreakBefore w:val="0"/>
              <w:widowControl w:val="0"/>
              <w:kinsoku/>
              <w:bidi w:val="0"/>
              <w:spacing w:beforeAutospacing="0" w:afterAutospacing="0"/>
              <w:ind w:left="0"/>
            </w:pPr>
            <w:r>
              <w:t>年负荷（kg/a）</w:t>
            </w:r>
          </w:p>
        </w:tc>
        <w:tc>
          <w:tcPr>
            <w:tcW w:w="888" w:type="pct"/>
            <w:shd w:val="clear" w:color="auto" w:fill="auto"/>
            <w:vAlign w:val="center"/>
          </w:tcPr>
          <w:p w14:paraId="55E47521">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9.49</w:t>
            </w:r>
          </w:p>
        </w:tc>
        <w:tc>
          <w:tcPr>
            <w:tcW w:w="747" w:type="pct"/>
            <w:shd w:val="clear" w:color="auto" w:fill="auto"/>
            <w:vAlign w:val="center"/>
          </w:tcPr>
          <w:p w14:paraId="4903477B">
            <w:pPr>
              <w:pStyle w:val="68"/>
              <w:pageBreakBefore w:val="0"/>
              <w:widowControl w:val="0"/>
              <w:kinsoku/>
              <w:bidi w:val="0"/>
              <w:spacing w:beforeAutospacing="0" w:afterAutospacing="0"/>
              <w:ind w:left="0"/>
              <w:rPr>
                <w:rFonts w:hint="default" w:eastAsiaTheme="minorEastAsia"/>
                <w:lang w:val="en-US" w:eastAsia="zh-CN"/>
              </w:rPr>
            </w:pPr>
            <w:r>
              <w:t>1</w:t>
            </w:r>
            <w:r>
              <w:rPr>
                <w:rFonts w:hint="eastAsia"/>
                <w:lang w:val="en-US" w:eastAsia="zh-CN"/>
              </w:rPr>
              <w:t>8.98</w:t>
            </w:r>
          </w:p>
        </w:tc>
        <w:tc>
          <w:tcPr>
            <w:tcW w:w="909" w:type="pct"/>
            <w:shd w:val="clear" w:color="auto" w:fill="auto"/>
            <w:vAlign w:val="center"/>
          </w:tcPr>
          <w:p w14:paraId="226A772D">
            <w:pPr>
              <w:pStyle w:val="68"/>
              <w:pageBreakBefore w:val="0"/>
              <w:widowControl w:val="0"/>
              <w:kinsoku/>
              <w:bidi w:val="0"/>
              <w:spacing w:beforeAutospacing="0" w:afterAutospacing="0"/>
              <w:ind w:left="0"/>
              <w:rPr>
                <w:rFonts w:hint="default" w:eastAsiaTheme="minorEastAsia"/>
                <w:lang w:val="en-US" w:eastAsia="zh-CN"/>
              </w:rPr>
            </w:pPr>
            <w:r>
              <w:t>1</w:t>
            </w:r>
            <w:r>
              <w:rPr>
                <w:rFonts w:hint="eastAsia"/>
                <w:lang w:val="en-US" w:eastAsia="zh-CN"/>
              </w:rPr>
              <w:t>89.8</w:t>
            </w:r>
          </w:p>
        </w:tc>
        <w:tc>
          <w:tcPr>
            <w:tcW w:w="1092" w:type="pct"/>
            <w:shd w:val="clear" w:color="auto" w:fill="auto"/>
            <w:vAlign w:val="center"/>
          </w:tcPr>
          <w:p w14:paraId="5CDB51EE">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37.96</w:t>
            </w:r>
          </w:p>
        </w:tc>
      </w:tr>
    </w:tbl>
    <w:p w14:paraId="7F0117CA">
      <w:pPr>
        <w:pStyle w:val="10"/>
        <w:pageBreakBefore w:val="0"/>
        <w:widowControl w:val="0"/>
        <w:kinsoku/>
        <w:bidi w:val="0"/>
        <w:spacing w:before="0" w:beforeAutospacing="0" w:after="0" w:afterAutospacing="0"/>
        <w:ind w:left="0"/>
      </w:pPr>
      <w:bookmarkStart w:id="81" w:name="_Toc43925468"/>
      <w:bookmarkStart w:id="82" w:name="_Toc26381"/>
      <w:bookmarkStart w:id="83" w:name="_Toc41765785"/>
      <w:r>
        <w:t>农业面源调查</w:t>
      </w:r>
      <w:bookmarkEnd w:id="81"/>
      <w:bookmarkEnd w:id="82"/>
      <w:bookmarkEnd w:id="83"/>
    </w:p>
    <w:p w14:paraId="1C0E55A3">
      <w:pPr>
        <w:pStyle w:val="12"/>
        <w:pageBreakBefore w:val="0"/>
        <w:widowControl w:val="0"/>
        <w:kinsoku/>
        <w:bidi w:val="0"/>
        <w:spacing w:before="0" w:beforeAutospacing="0" w:after="0" w:afterAutospacing="0"/>
        <w:ind w:left="0"/>
      </w:pPr>
      <w:r>
        <w:t>现场调查</w:t>
      </w:r>
    </w:p>
    <w:p w14:paraId="5F7C3D4F">
      <w:pPr>
        <w:pageBreakBefore w:val="0"/>
        <w:widowControl w:val="0"/>
        <w:kinsoku/>
        <w:bidi w:val="0"/>
        <w:spacing w:beforeAutospacing="0" w:afterAutospacing="0"/>
        <w:ind w:left="0" w:firstLine="480"/>
        <w:rPr>
          <w:rFonts w:ascii="Times New Roman"/>
        </w:rPr>
      </w:pPr>
      <w:r>
        <w:rPr>
          <w:rFonts w:hint="eastAsia" w:ascii="Times New Roman"/>
          <w:szCs w:val="28"/>
          <w:lang w:eastAsia="zh-CN"/>
        </w:rPr>
        <w:t>饮用水源地</w:t>
      </w:r>
      <w:r>
        <w:rPr>
          <w:rFonts w:hint="eastAsia" w:ascii="Times New Roman"/>
        </w:rPr>
        <w:t>集雨面积</w:t>
      </w:r>
      <w:r>
        <w:rPr>
          <w:rFonts w:ascii="Times New Roman"/>
        </w:rPr>
        <w:t>内有</w:t>
      </w:r>
      <w:r>
        <w:rPr>
          <w:rFonts w:hint="eastAsia" w:ascii="Times New Roman"/>
          <w:lang w:val="en-US" w:eastAsia="zh-CN"/>
        </w:rPr>
        <w:t>10</w:t>
      </w:r>
      <w:r>
        <w:rPr>
          <w:rFonts w:ascii="Times New Roman"/>
        </w:rPr>
        <w:t>余亩农田或耕地</w:t>
      </w:r>
      <w:r>
        <w:rPr>
          <w:rFonts w:ascii="Times New Roman"/>
          <w:szCs w:val="28"/>
        </w:rPr>
        <w:t>，内有分散农业种植，主要农作物为</w:t>
      </w:r>
      <w:r>
        <w:rPr>
          <w:rFonts w:hint="eastAsia" w:ascii="Times New Roman"/>
          <w:szCs w:val="28"/>
          <w:lang w:val="en-US" w:eastAsia="zh-CN"/>
        </w:rPr>
        <w:t>高粱</w:t>
      </w:r>
      <w:r>
        <w:rPr>
          <w:rFonts w:hint="eastAsia" w:ascii="Times New Roman"/>
          <w:szCs w:val="28"/>
        </w:rPr>
        <w:t>、</w:t>
      </w:r>
      <w:r>
        <w:rPr>
          <w:rFonts w:hint="eastAsia" w:ascii="Times New Roman"/>
          <w:szCs w:val="28"/>
          <w:lang w:val="en-US" w:eastAsia="zh-CN"/>
        </w:rPr>
        <w:t>玉米</w:t>
      </w:r>
      <w:r>
        <w:rPr>
          <w:rFonts w:ascii="Times New Roman"/>
          <w:szCs w:val="28"/>
        </w:rPr>
        <w:t>。</w:t>
      </w:r>
      <w:r>
        <w:rPr>
          <w:rFonts w:hint="eastAsia" w:ascii="Times New Roman"/>
          <w:szCs w:val="28"/>
          <w:lang w:val="en-US" w:eastAsia="zh-CN"/>
        </w:rPr>
        <w:t>可能</w:t>
      </w:r>
      <w:r>
        <w:rPr>
          <w:rFonts w:ascii="Times New Roman"/>
          <w:szCs w:val="28"/>
        </w:rPr>
        <w:t>存在种植使</w:t>
      </w:r>
      <w:r>
        <w:rPr>
          <w:rFonts w:ascii="Times New Roman"/>
        </w:rPr>
        <w:t>用农药和复合肥随地表径流</w:t>
      </w:r>
      <w:r>
        <w:rPr>
          <w:rFonts w:hint="eastAsia" w:ascii="Times New Roman"/>
        </w:rPr>
        <w:t>或深入土壤</w:t>
      </w:r>
      <w:r>
        <w:rPr>
          <w:rFonts w:ascii="Times New Roman"/>
        </w:rPr>
        <w:t>进入</w:t>
      </w:r>
      <w:r>
        <w:rPr>
          <w:rFonts w:hint="eastAsia" w:ascii="Times New Roman"/>
          <w:lang w:val="en-US" w:eastAsia="zh-CN"/>
        </w:rPr>
        <w:t>饮用水源地</w:t>
      </w:r>
      <w:r>
        <w:rPr>
          <w:rFonts w:ascii="Times New Roman"/>
        </w:rPr>
        <w:t>，形成面源污染。</w:t>
      </w:r>
    </w:p>
    <w:p w14:paraId="625CE5C4">
      <w:pPr>
        <w:pStyle w:val="12"/>
        <w:pageBreakBefore w:val="0"/>
        <w:widowControl w:val="0"/>
        <w:kinsoku/>
        <w:bidi w:val="0"/>
        <w:spacing w:before="0" w:beforeAutospacing="0" w:after="0" w:afterAutospacing="0"/>
        <w:ind w:left="0"/>
      </w:pPr>
      <w:r>
        <w:t>负荷估算</w:t>
      </w:r>
    </w:p>
    <w:p w14:paraId="271D6680">
      <w:pPr>
        <w:pageBreakBefore w:val="0"/>
        <w:widowControl w:val="0"/>
        <w:kinsoku/>
        <w:bidi w:val="0"/>
        <w:spacing w:beforeAutospacing="0" w:afterAutospacing="0"/>
        <w:ind w:left="0" w:firstLine="480"/>
        <w:rPr>
          <w:rFonts w:ascii="Times New Roman"/>
        </w:rPr>
      </w:pPr>
      <w:r>
        <w:rPr>
          <w:rFonts w:ascii="Times New Roman"/>
        </w:rPr>
        <w:t>农田地表径流污染主要是指在农业生产活动中，农田中的土粒、氮素、磷、农药及其它有机或无机污染物质，在降水或灌溉过程中，通过农田地表径流、农田排水和地下渗漏，使大量污染物质进入水体，造成的水环境污染。目前，农田地表径流污染负荷产生量的计算基本上采用的都是数学模型的方法，从早期的统计模型发展到了现在的机理模型，而机理模型又可分为经验型模型和过程模型。</w:t>
      </w:r>
    </w:p>
    <w:p w14:paraId="4970857F">
      <w:pPr>
        <w:pageBreakBefore w:val="0"/>
        <w:widowControl w:val="0"/>
        <w:kinsoku/>
        <w:bidi w:val="0"/>
        <w:spacing w:beforeAutospacing="0" w:afterAutospacing="0"/>
        <w:ind w:left="0" w:firstLine="480"/>
        <w:rPr>
          <w:rFonts w:hint="eastAsia" w:ascii="黑体" w:hAnsi="黑体"/>
        </w:rPr>
      </w:pPr>
      <w:r>
        <w:rPr>
          <w:rFonts w:ascii="Times New Roman"/>
        </w:rPr>
        <w:t>通过参阅相关文献和研究成果，并结合水源地的实际情况，本方案拟采用四川省环科院在涪陵做农田径流模拟试验时得到的农田场雨径流冲刷污染负荷模型来计算水源地农田地表径流污染负荷产生量。</w:t>
      </w:r>
      <w:bookmarkStart w:id="84" w:name="_Ref43970142"/>
    </w:p>
    <w:p w14:paraId="20EBD842">
      <w:pPr>
        <w:pStyle w:val="62"/>
        <w:pageBreakBefore w:val="0"/>
        <w:widowControl w:val="0"/>
        <w:kinsoku/>
        <w:bidi w:val="0"/>
        <w:spacing w:beforeAutospacing="0" w:afterAutospacing="0"/>
        <w:ind w:left="0"/>
      </w:pPr>
      <w:r>
        <w:rPr>
          <w:rFonts w:hint="eastAsia" w:ascii="黑体" w:hAnsi="黑体"/>
        </w:rPr>
        <w:t xml:space="preserve">表 </w:t>
      </w:r>
      <w:r>
        <w:rPr>
          <w:rFonts w:ascii="黑体" w:hAnsi="黑体"/>
        </w:rPr>
        <w:fldChar w:fldCharType="begin"/>
      </w:r>
      <w:r>
        <w:rPr>
          <w:rFonts w:hint="eastAsia" w:ascii="黑体" w:hAnsi="黑体"/>
        </w:rPr>
        <w:instrText xml:space="preserve">STYLEREF 1 \s</w:instrText>
      </w:r>
      <w:r>
        <w:rPr>
          <w:rFonts w:ascii="黑体" w:hAnsi="黑体"/>
        </w:rPr>
        <w:fldChar w:fldCharType="separate"/>
      </w:r>
      <w:r>
        <w:rPr>
          <w:rFonts w:ascii="黑体" w:hAnsi="黑体"/>
        </w:rPr>
        <w:t>5</w:t>
      </w:r>
      <w:r>
        <w:rPr>
          <w:rFonts w:ascii="黑体" w:hAnsi="黑体"/>
        </w:rPr>
        <w:fldChar w:fldCharType="end"/>
      </w:r>
      <w:r>
        <w:rPr>
          <w:rFonts w:hint="eastAsia" w:ascii="黑体" w:hAnsi="黑体"/>
          <w:lang w:eastAsia="zh-CN"/>
        </w:rPr>
        <w:t>—</w:t>
      </w:r>
      <w:r>
        <w:rPr>
          <w:rFonts w:ascii="黑体" w:hAnsi="黑体"/>
        </w:rPr>
        <w:fldChar w:fldCharType="begin"/>
      </w:r>
      <w:r>
        <w:rPr>
          <w:rFonts w:hint="eastAsia" w:ascii="黑体" w:hAnsi="黑体"/>
        </w:rPr>
        <w:instrText xml:space="preserve">SEQ 表 \* ARABIC \s 1</w:instrText>
      </w:r>
      <w:r>
        <w:rPr>
          <w:rFonts w:ascii="黑体" w:hAnsi="黑体"/>
        </w:rPr>
        <w:fldChar w:fldCharType="separate"/>
      </w:r>
      <w:r>
        <w:rPr>
          <w:rFonts w:ascii="黑体" w:hAnsi="黑体"/>
        </w:rPr>
        <w:t>3</w:t>
      </w:r>
      <w:r>
        <w:rPr>
          <w:rFonts w:ascii="黑体" w:hAnsi="黑体"/>
        </w:rPr>
        <w:fldChar w:fldCharType="end"/>
      </w:r>
      <w:bookmarkEnd w:id="84"/>
      <w:r>
        <w:t>农田径流产污负荷</w:t>
      </w:r>
    </w:p>
    <w:tbl>
      <w:tblPr>
        <w:tblStyle w:val="27"/>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1659"/>
        <w:gridCol w:w="1754"/>
        <w:gridCol w:w="1677"/>
        <w:gridCol w:w="1656"/>
      </w:tblGrid>
      <w:tr w14:paraId="6CED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pct"/>
            <w:vMerge w:val="restart"/>
            <w:tcBorders>
              <w:top w:val="single" w:color="auto" w:sz="4" w:space="0"/>
              <w:left w:val="single" w:color="auto" w:sz="4" w:space="0"/>
              <w:bottom w:val="single" w:color="auto" w:sz="4" w:space="0"/>
              <w:right w:val="single" w:color="auto" w:sz="4" w:space="0"/>
            </w:tcBorders>
            <w:vAlign w:val="center"/>
          </w:tcPr>
          <w:p w14:paraId="06F0675E">
            <w:pPr>
              <w:pStyle w:val="68"/>
              <w:pageBreakBefore w:val="0"/>
              <w:widowControl w:val="0"/>
              <w:kinsoku/>
              <w:bidi w:val="0"/>
              <w:spacing w:beforeAutospacing="0" w:afterAutospacing="0"/>
              <w:ind w:left="0"/>
              <w:rPr>
                <w:b/>
                <w:bCs/>
              </w:rPr>
            </w:pPr>
            <w:r>
              <w:rPr>
                <w:b/>
                <w:bCs/>
              </w:rPr>
              <w:t>污染来源</w:t>
            </w:r>
          </w:p>
        </w:tc>
        <w:tc>
          <w:tcPr>
            <w:tcW w:w="3903" w:type="pct"/>
            <w:gridSpan w:val="4"/>
            <w:tcBorders>
              <w:top w:val="single" w:color="auto" w:sz="4" w:space="0"/>
              <w:left w:val="single" w:color="auto" w:sz="4" w:space="0"/>
              <w:bottom w:val="single" w:color="auto" w:sz="4" w:space="0"/>
              <w:right w:val="single" w:color="auto" w:sz="4" w:space="0"/>
            </w:tcBorders>
            <w:vAlign w:val="center"/>
          </w:tcPr>
          <w:p w14:paraId="61825232">
            <w:pPr>
              <w:pStyle w:val="68"/>
              <w:pageBreakBefore w:val="0"/>
              <w:widowControl w:val="0"/>
              <w:kinsoku/>
              <w:bidi w:val="0"/>
              <w:spacing w:beforeAutospacing="0" w:afterAutospacing="0"/>
              <w:ind w:left="0"/>
              <w:rPr>
                <w:b/>
                <w:bCs/>
              </w:rPr>
            </w:pPr>
            <w:r>
              <w:rPr>
                <w:b/>
                <w:bCs/>
              </w:rPr>
              <w:t>污染物负荷（kg/a）</w:t>
            </w:r>
          </w:p>
        </w:tc>
      </w:tr>
      <w:tr w14:paraId="666E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pct"/>
            <w:vMerge w:val="continue"/>
            <w:tcBorders>
              <w:top w:val="single" w:color="auto" w:sz="4" w:space="0"/>
              <w:left w:val="single" w:color="auto" w:sz="4" w:space="0"/>
              <w:bottom w:val="single" w:color="auto" w:sz="4" w:space="0"/>
              <w:right w:val="single" w:color="auto" w:sz="4" w:space="0"/>
            </w:tcBorders>
            <w:vAlign w:val="center"/>
          </w:tcPr>
          <w:p w14:paraId="18289CFA">
            <w:pPr>
              <w:pStyle w:val="68"/>
              <w:pageBreakBefore w:val="0"/>
              <w:widowControl w:val="0"/>
              <w:kinsoku/>
              <w:bidi w:val="0"/>
              <w:spacing w:beforeAutospacing="0" w:afterAutospacing="0"/>
              <w:ind w:left="0"/>
              <w:rPr>
                <w:b/>
                <w:bCs/>
              </w:rPr>
            </w:pPr>
          </w:p>
        </w:tc>
        <w:tc>
          <w:tcPr>
            <w:tcW w:w="960" w:type="pct"/>
            <w:tcBorders>
              <w:top w:val="single" w:color="auto" w:sz="4" w:space="0"/>
              <w:left w:val="single" w:color="auto" w:sz="4" w:space="0"/>
              <w:bottom w:val="single" w:color="auto" w:sz="4" w:space="0"/>
              <w:right w:val="single" w:color="auto" w:sz="4" w:space="0"/>
            </w:tcBorders>
            <w:vAlign w:val="center"/>
          </w:tcPr>
          <w:p w14:paraId="1E0132BD">
            <w:pPr>
              <w:pStyle w:val="68"/>
              <w:pageBreakBefore w:val="0"/>
              <w:widowControl w:val="0"/>
              <w:kinsoku/>
              <w:bidi w:val="0"/>
              <w:spacing w:beforeAutospacing="0" w:afterAutospacing="0"/>
              <w:ind w:left="0"/>
              <w:rPr>
                <w:b/>
                <w:bCs/>
              </w:rPr>
            </w:pPr>
            <w:r>
              <w:rPr>
                <w:b/>
                <w:bCs/>
              </w:rPr>
              <w:t>COD</w:t>
            </w:r>
          </w:p>
        </w:tc>
        <w:tc>
          <w:tcPr>
            <w:tcW w:w="1015" w:type="pct"/>
            <w:tcBorders>
              <w:top w:val="single" w:color="auto" w:sz="4" w:space="0"/>
              <w:left w:val="single" w:color="auto" w:sz="4" w:space="0"/>
              <w:bottom w:val="single" w:color="auto" w:sz="4" w:space="0"/>
              <w:right w:val="single" w:color="auto" w:sz="4" w:space="0"/>
            </w:tcBorders>
            <w:vAlign w:val="center"/>
          </w:tcPr>
          <w:p w14:paraId="7763EB2F">
            <w:pPr>
              <w:pStyle w:val="68"/>
              <w:pageBreakBefore w:val="0"/>
              <w:widowControl w:val="0"/>
              <w:kinsoku/>
              <w:bidi w:val="0"/>
              <w:spacing w:beforeAutospacing="0" w:afterAutospacing="0"/>
              <w:ind w:left="0"/>
              <w:rPr>
                <w:b/>
                <w:bCs/>
              </w:rPr>
            </w:pPr>
            <w:r>
              <w:rPr>
                <w:b/>
                <w:bCs/>
              </w:rPr>
              <w:t>NH</w:t>
            </w:r>
            <w:r>
              <w:rPr>
                <w:b/>
                <w:bCs/>
                <w:vertAlign w:val="subscript"/>
              </w:rPr>
              <w:t>3</w:t>
            </w:r>
            <w:r>
              <w:rPr>
                <w:b/>
                <w:bCs/>
              </w:rPr>
              <w:t>-N</w:t>
            </w:r>
          </w:p>
        </w:tc>
        <w:tc>
          <w:tcPr>
            <w:tcW w:w="970" w:type="pct"/>
            <w:tcBorders>
              <w:top w:val="single" w:color="auto" w:sz="4" w:space="0"/>
              <w:left w:val="single" w:color="auto" w:sz="4" w:space="0"/>
              <w:bottom w:val="single" w:color="auto" w:sz="4" w:space="0"/>
              <w:right w:val="single" w:color="auto" w:sz="4" w:space="0"/>
            </w:tcBorders>
            <w:vAlign w:val="center"/>
          </w:tcPr>
          <w:p w14:paraId="55DBAA05">
            <w:pPr>
              <w:pStyle w:val="68"/>
              <w:pageBreakBefore w:val="0"/>
              <w:widowControl w:val="0"/>
              <w:kinsoku/>
              <w:bidi w:val="0"/>
              <w:spacing w:beforeAutospacing="0" w:afterAutospacing="0"/>
              <w:ind w:left="0"/>
              <w:rPr>
                <w:b/>
                <w:bCs/>
              </w:rPr>
            </w:pPr>
            <w:r>
              <w:rPr>
                <w:b/>
                <w:bCs/>
              </w:rPr>
              <w:t>TN</w:t>
            </w:r>
          </w:p>
        </w:tc>
        <w:tc>
          <w:tcPr>
            <w:tcW w:w="958" w:type="pct"/>
            <w:tcBorders>
              <w:top w:val="single" w:color="auto" w:sz="4" w:space="0"/>
              <w:left w:val="single" w:color="auto" w:sz="4" w:space="0"/>
              <w:bottom w:val="single" w:color="auto" w:sz="4" w:space="0"/>
              <w:right w:val="single" w:color="auto" w:sz="4" w:space="0"/>
            </w:tcBorders>
            <w:vAlign w:val="center"/>
          </w:tcPr>
          <w:p w14:paraId="7BBE7463">
            <w:pPr>
              <w:pStyle w:val="68"/>
              <w:pageBreakBefore w:val="0"/>
              <w:widowControl w:val="0"/>
              <w:kinsoku/>
              <w:bidi w:val="0"/>
              <w:spacing w:beforeAutospacing="0" w:afterAutospacing="0"/>
              <w:ind w:left="0"/>
              <w:rPr>
                <w:b/>
                <w:bCs/>
              </w:rPr>
            </w:pPr>
            <w:r>
              <w:rPr>
                <w:b/>
                <w:bCs/>
              </w:rPr>
              <w:t>TP</w:t>
            </w:r>
          </w:p>
        </w:tc>
      </w:tr>
      <w:tr w14:paraId="08A1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pct"/>
            <w:tcBorders>
              <w:top w:val="single" w:color="auto" w:sz="4" w:space="0"/>
              <w:left w:val="single" w:color="auto" w:sz="4" w:space="0"/>
              <w:bottom w:val="single" w:color="auto" w:sz="4" w:space="0"/>
              <w:right w:val="single" w:color="auto" w:sz="4" w:space="0"/>
            </w:tcBorders>
            <w:vAlign w:val="center"/>
          </w:tcPr>
          <w:p w14:paraId="0A21C83A">
            <w:pPr>
              <w:pStyle w:val="68"/>
              <w:pageBreakBefore w:val="0"/>
              <w:widowControl w:val="0"/>
              <w:kinsoku/>
              <w:bidi w:val="0"/>
              <w:spacing w:beforeAutospacing="0" w:afterAutospacing="0"/>
              <w:ind w:left="0"/>
            </w:pPr>
            <w:r>
              <w:t>农田施肥</w:t>
            </w:r>
          </w:p>
        </w:tc>
        <w:tc>
          <w:tcPr>
            <w:tcW w:w="960" w:type="pct"/>
            <w:tcBorders>
              <w:top w:val="single" w:color="auto" w:sz="4" w:space="0"/>
              <w:left w:val="single" w:color="auto" w:sz="4" w:space="0"/>
              <w:bottom w:val="single" w:color="auto" w:sz="4" w:space="0"/>
              <w:right w:val="single" w:color="auto" w:sz="4" w:space="0"/>
            </w:tcBorders>
            <w:vAlign w:val="center"/>
          </w:tcPr>
          <w:p w14:paraId="45CF1747">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185.09</w:t>
            </w:r>
          </w:p>
        </w:tc>
        <w:tc>
          <w:tcPr>
            <w:tcW w:w="1015" w:type="pct"/>
            <w:tcBorders>
              <w:top w:val="single" w:color="auto" w:sz="4" w:space="0"/>
              <w:left w:val="single" w:color="auto" w:sz="4" w:space="0"/>
              <w:bottom w:val="single" w:color="auto" w:sz="4" w:space="0"/>
              <w:right w:val="single" w:color="auto" w:sz="4" w:space="0"/>
            </w:tcBorders>
            <w:vAlign w:val="center"/>
          </w:tcPr>
          <w:p w14:paraId="48733368">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5.76</w:t>
            </w:r>
          </w:p>
        </w:tc>
        <w:tc>
          <w:tcPr>
            <w:tcW w:w="970" w:type="pct"/>
            <w:tcBorders>
              <w:top w:val="single" w:color="auto" w:sz="4" w:space="0"/>
              <w:left w:val="single" w:color="auto" w:sz="4" w:space="0"/>
              <w:bottom w:val="single" w:color="auto" w:sz="4" w:space="0"/>
              <w:right w:val="single" w:color="auto" w:sz="4" w:space="0"/>
            </w:tcBorders>
            <w:vAlign w:val="center"/>
          </w:tcPr>
          <w:p w14:paraId="657EA310">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28.80</w:t>
            </w:r>
          </w:p>
        </w:tc>
        <w:tc>
          <w:tcPr>
            <w:tcW w:w="958" w:type="pct"/>
            <w:tcBorders>
              <w:top w:val="single" w:color="auto" w:sz="4" w:space="0"/>
              <w:left w:val="single" w:color="auto" w:sz="4" w:space="0"/>
              <w:bottom w:val="single" w:color="auto" w:sz="4" w:space="0"/>
              <w:right w:val="single" w:color="auto" w:sz="4" w:space="0"/>
            </w:tcBorders>
            <w:vAlign w:val="center"/>
          </w:tcPr>
          <w:p w14:paraId="6FE4174C">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412.47</w:t>
            </w:r>
          </w:p>
        </w:tc>
      </w:tr>
    </w:tbl>
    <w:p w14:paraId="210C9B64">
      <w:pPr>
        <w:pStyle w:val="10"/>
        <w:pageBreakBefore w:val="0"/>
        <w:widowControl w:val="0"/>
        <w:kinsoku/>
        <w:bidi w:val="0"/>
        <w:spacing w:before="0" w:beforeAutospacing="0" w:after="0" w:afterAutospacing="0"/>
        <w:ind w:left="0"/>
      </w:pPr>
      <w:bookmarkStart w:id="85" w:name="_Toc41765786"/>
      <w:bookmarkStart w:id="86" w:name="_Toc43925469"/>
      <w:bookmarkStart w:id="87" w:name="_Toc32295"/>
      <w:r>
        <w:t>畜禽及水产养殖调查</w:t>
      </w:r>
      <w:bookmarkEnd w:id="85"/>
      <w:bookmarkEnd w:id="86"/>
      <w:r>
        <w:t>与负荷估算</w:t>
      </w:r>
      <w:bookmarkEnd w:id="87"/>
    </w:p>
    <w:p w14:paraId="43F2AE59">
      <w:pPr>
        <w:pStyle w:val="12"/>
        <w:pageBreakBefore w:val="0"/>
        <w:widowControl w:val="0"/>
        <w:kinsoku/>
        <w:bidi w:val="0"/>
        <w:spacing w:before="0" w:beforeAutospacing="0" w:after="0" w:afterAutospacing="0"/>
        <w:ind w:left="0"/>
      </w:pPr>
      <w:r>
        <w:t>现场调查</w:t>
      </w:r>
    </w:p>
    <w:p w14:paraId="0AD84E18">
      <w:pPr>
        <w:pageBreakBefore w:val="0"/>
        <w:widowControl w:val="0"/>
        <w:kinsoku/>
        <w:bidi w:val="0"/>
        <w:spacing w:beforeAutospacing="0" w:afterAutospacing="0"/>
        <w:ind w:left="0" w:firstLine="480"/>
        <w:rPr>
          <w:rFonts w:ascii="Times New Roman"/>
        </w:rPr>
      </w:pPr>
      <w:r>
        <w:rPr>
          <w:rFonts w:ascii="Times New Roman"/>
        </w:rPr>
        <w:t>据现场调查，</w:t>
      </w:r>
      <w:r>
        <w:rPr>
          <w:rFonts w:hint="eastAsia" w:ascii="Times New Roman"/>
          <w:lang w:eastAsia="zh-CN"/>
        </w:rPr>
        <w:t>黄石镇铁炉沟集中式饮用水水源地</w:t>
      </w:r>
      <w:r>
        <w:rPr>
          <w:rFonts w:ascii="Times New Roman"/>
        </w:rPr>
        <w:t>集雨</w:t>
      </w:r>
      <w:r>
        <w:rPr>
          <w:rFonts w:hint="eastAsia" w:ascii="Times New Roman"/>
          <w:lang w:val="en-US" w:eastAsia="zh-CN"/>
        </w:rPr>
        <w:t>区边缘</w:t>
      </w:r>
      <w:r>
        <w:rPr>
          <w:rFonts w:ascii="Times New Roman"/>
        </w:rPr>
        <w:t>存在部分村民自家喂养的</w:t>
      </w:r>
      <w:r>
        <w:rPr>
          <w:rFonts w:hint="eastAsia" w:ascii="Times New Roman"/>
        </w:rPr>
        <w:t>猪、鸡、鸭等家畜家禽</w:t>
      </w:r>
      <w:r>
        <w:rPr>
          <w:rFonts w:ascii="Times New Roman"/>
        </w:rPr>
        <w:t>，养</w:t>
      </w:r>
      <w:r>
        <w:rPr>
          <w:rFonts w:hint="eastAsia" w:ascii="Times New Roman"/>
        </w:rPr>
        <w:t>猪</w:t>
      </w:r>
      <w:r>
        <w:rPr>
          <w:rFonts w:ascii="Times New Roman"/>
        </w:rPr>
        <w:t>约</w:t>
      </w:r>
      <w:r>
        <w:rPr>
          <w:rFonts w:hint="eastAsia" w:ascii="Times New Roman"/>
          <w:lang w:val="en-US" w:eastAsia="zh-CN"/>
        </w:rPr>
        <w:t>3</w:t>
      </w:r>
      <w:r>
        <w:rPr>
          <w:rFonts w:ascii="Times New Roman"/>
        </w:rPr>
        <w:t>只/年</w:t>
      </w:r>
      <w:r>
        <w:rPr>
          <w:rFonts w:hint="eastAsia" w:ascii="Times New Roman"/>
        </w:rPr>
        <w:t>，</w:t>
      </w:r>
      <w:r>
        <w:rPr>
          <w:rFonts w:ascii="Times New Roman"/>
        </w:rPr>
        <w:t>养</w:t>
      </w:r>
      <w:r>
        <w:rPr>
          <w:rFonts w:hint="eastAsia" w:ascii="Times New Roman"/>
        </w:rPr>
        <w:t>鸡</w:t>
      </w:r>
      <w:r>
        <w:rPr>
          <w:rFonts w:ascii="Times New Roman"/>
        </w:rPr>
        <w:t>约</w:t>
      </w:r>
      <w:r>
        <w:rPr>
          <w:rFonts w:hint="eastAsia" w:ascii="Times New Roman"/>
          <w:lang w:val="en-US" w:eastAsia="zh-CN"/>
        </w:rPr>
        <w:t>20</w:t>
      </w:r>
      <w:r>
        <w:rPr>
          <w:rFonts w:ascii="Times New Roman"/>
        </w:rPr>
        <w:t>只/年</w:t>
      </w:r>
      <w:r>
        <w:rPr>
          <w:rFonts w:hint="eastAsia" w:ascii="Times New Roman"/>
        </w:rPr>
        <w:t>，</w:t>
      </w:r>
      <w:r>
        <w:rPr>
          <w:rFonts w:ascii="Times New Roman"/>
        </w:rPr>
        <w:t>养</w:t>
      </w:r>
      <w:r>
        <w:rPr>
          <w:rFonts w:hint="eastAsia" w:ascii="Times New Roman"/>
        </w:rPr>
        <w:t>鸭</w:t>
      </w:r>
      <w:r>
        <w:rPr>
          <w:rFonts w:ascii="Times New Roman"/>
        </w:rPr>
        <w:t>约</w:t>
      </w:r>
      <w:r>
        <w:rPr>
          <w:rFonts w:hint="eastAsia" w:ascii="Times New Roman"/>
          <w:lang w:val="en-US" w:eastAsia="zh-CN"/>
        </w:rPr>
        <w:t>10</w:t>
      </w:r>
      <w:r>
        <w:rPr>
          <w:rFonts w:ascii="Times New Roman"/>
        </w:rPr>
        <w:t>只/年。</w:t>
      </w:r>
      <w:r>
        <w:rPr>
          <w:rFonts w:hint="eastAsia" w:ascii="Times New Roman"/>
          <w:lang w:val="en-US" w:eastAsia="zh-CN"/>
        </w:rPr>
        <w:t>可能</w:t>
      </w:r>
      <w:r>
        <w:rPr>
          <w:rFonts w:ascii="Times New Roman"/>
        </w:rPr>
        <w:t>存在</w:t>
      </w:r>
      <w:r>
        <w:rPr>
          <w:rFonts w:hint="eastAsia" w:ascii="Times New Roman"/>
        </w:rPr>
        <w:t>家禽的排泄</w:t>
      </w:r>
      <w:r>
        <w:rPr>
          <w:rFonts w:hint="eastAsia" w:ascii="Times New Roman"/>
          <w:lang w:val="en-US" w:eastAsia="zh-CN"/>
        </w:rPr>
        <w:t>物</w:t>
      </w:r>
      <w:r>
        <w:rPr>
          <w:rFonts w:hint="eastAsia" w:ascii="Times New Roman"/>
        </w:rPr>
        <w:t>和粪便中污染物</w:t>
      </w:r>
      <w:r>
        <w:rPr>
          <w:rFonts w:ascii="Times New Roman"/>
        </w:rPr>
        <w:t>随地表径流</w:t>
      </w:r>
      <w:r>
        <w:rPr>
          <w:rFonts w:hint="eastAsia" w:ascii="Times New Roman"/>
        </w:rPr>
        <w:t>或深入土壤</w:t>
      </w:r>
      <w:r>
        <w:rPr>
          <w:rFonts w:ascii="Times New Roman"/>
        </w:rPr>
        <w:t>进入</w:t>
      </w:r>
      <w:r>
        <w:rPr>
          <w:rFonts w:hint="eastAsia" w:ascii="Times New Roman"/>
          <w:lang w:val="en-US" w:eastAsia="zh-CN"/>
        </w:rPr>
        <w:t>饮用水源地</w:t>
      </w:r>
      <w:r>
        <w:rPr>
          <w:rFonts w:ascii="Times New Roman"/>
        </w:rPr>
        <w:t>形成面源污染</w:t>
      </w:r>
      <w:r>
        <w:rPr>
          <w:rFonts w:hint="eastAsia" w:ascii="Times New Roman"/>
          <w:lang w:eastAsia="zh-CN"/>
        </w:rPr>
        <w:t>的风险</w:t>
      </w:r>
      <w:r>
        <w:rPr>
          <w:rFonts w:ascii="Times New Roman"/>
        </w:rPr>
        <w:t>。</w:t>
      </w:r>
    </w:p>
    <w:p w14:paraId="47F324A9">
      <w:pPr>
        <w:pStyle w:val="12"/>
        <w:pageBreakBefore w:val="0"/>
        <w:widowControl w:val="0"/>
        <w:kinsoku/>
        <w:bidi w:val="0"/>
        <w:spacing w:before="0" w:beforeAutospacing="0" w:after="0" w:afterAutospacing="0"/>
        <w:ind w:left="0"/>
      </w:pPr>
      <w:r>
        <w:t>负荷估算</w:t>
      </w:r>
    </w:p>
    <w:p w14:paraId="51622FD7">
      <w:pPr>
        <w:pageBreakBefore w:val="0"/>
        <w:widowControl w:val="0"/>
        <w:kinsoku/>
        <w:bidi w:val="0"/>
        <w:spacing w:beforeAutospacing="0" w:afterAutospacing="0"/>
        <w:ind w:left="0" w:firstLine="480"/>
        <w:rPr>
          <w:rFonts w:ascii="Times New Roman"/>
        </w:rPr>
      </w:pPr>
      <w:r>
        <w:rPr>
          <w:rFonts w:ascii="Times New Roman"/>
        </w:rPr>
        <w:t>根据国家环保总局文件《关于减免家禽业排污费等有关问题的通知》（环发（2004）43号）中，给出的禽粪便排泄系数表和禽畜粪便中的污染物平均含量，大牲畜按照牛计、羊按照猪计、其它家禽的排泄量和粪便中污染物含量以鸡鸭的平均值计（系数见</w:t>
      </w:r>
      <w:r>
        <w:fldChar w:fldCharType="begin"/>
      </w:r>
      <w:r>
        <w:instrText xml:space="preserve"> REF _Ref43970155 \h  \* MERGEFORMAT </w:instrText>
      </w:r>
      <w:r>
        <w:fldChar w:fldCharType="separate"/>
      </w:r>
      <w:r>
        <w:rPr>
          <w:rFonts w:hint="eastAsia" w:ascii="黑体" w:hAnsi="黑体"/>
        </w:rPr>
        <w:t>表</w:t>
      </w:r>
      <w:r>
        <w:rPr>
          <w:rFonts w:ascii="黑体" w:hAnsi="黑体"/>
        </w:rPr>
        <w:t>5</w:t>
      </w:r>
      <w:r>
        <w:rPr>
          <w:rFonts w:ascii="黑体" w:hAnsi="黑体"/>
        </w:rPr>
        <w:noBreakHyphen/>
      </w:r>
      <w:r>
        <w:rPr>
          <w:rFonts w:ascii="黑体" w:hAnsi="黑体"/>
        </w:rPr>
        <w:t>4</w:t>
      </w:r>
      <w:r>
        <w:rPr>
          <w:rFonts w:ascii="黑体" w:hAnsi="黑体"/>
        </w:rPr>
        <w:fldChar w:fldCharType="end"/>
      </w:r>
      <w:r>
        <w:rPr>
          <w:rFonts w:ascii="Times New Roman"/>
        </w:rPr>
        <w:t>及</w:t>
      </w:r>
      <w:r>
        <w:fldChar w:fldCharType="begin"/>
      </w:r>
      <w:r>
        <w:instrText xml:space="preserve"> REF _Ref43970160 \h  \* MERGEFORMAT </w:instrText>
      </w:r>
      <w:r>
        <w:fldChar w:fldCharType="separate"/>
      </w:r>
      <w:r>
        <w:rPr>
          <w:rFonts w:hint="eastAsia" w:ascii="黑体" w:hAnsi="黑体"/>
        </w:rPr>
        <w:t>表</w:t>
      </w:r>
      <w:r>
        <w:rPr>
          <w:rFonts w:ascii="黑体" w:hAnsi="黑体"/>
        </w:rPr>
        <w:t>5</w:t>
      </w:r>
      <w:r>
        <w:rPr>
          <w:rFonts w:ascii="黑体" w:hAnsi="黑体"/>
        </w:rPr>
        <w:noBreakHyphen/>
      </w:r>
      <w:r>
        <w:rPr>
          <w:rFonts w:ascii="黑体" w:hAnsi="黑体"/>
        </w:rPr>
        <w:t>5</w:t>
      </w:r>
      <w:r>
        <w:rPr>
          <w:rFonts w:ascii="黑体" w:hAnsi="黑体"/>
        </w:rPr>
        <w:fldChar w:fldCharType="end"/>
      </w:r>
      <w:r>
        <w:rPr>
          <w:rFonts w:ascii="Times New Roman"/>
        </w:rPr>
        <w:t>），其污染物排放计量方式见</w:t>
      </w:r>
      <w:r>
        <w:fldChar w:fldCharType="begin"/>
      </w:r>
      <w:r>
        <w:instrText xml:space="preserve"> REF _Ref43970166 \h  \* MERGEFORMAT </w:instrText>
      </w:r>
      <w:r>
        <w:fldChar w:fldCharType="separate"/>
      </w:r>
      <w:r>
        <w:rPr>
          <w:rFonts w:hint="eastAsia" w:ascii="黑体" w:hAnsi="黑体"/>
        </w:rPr>
        <w:t>表</w:t>
      </w:r>
      <w:r>
        <w:rPr>
          <w:rFonts w:ascii="黑体" w:hAnsi="黑体"/>
        </w:rPr>
        <w:t>5</w:t>
      </w:r>
      <w:r>
        <w:rPr>
          <w:rFonts w:ascii="黑体" w:hAnsi="黑体"/>
        </w:rPr>
        <w:noBreakHyphen/>
      </w:r>
      <w:r>
        <w:rPr>
          <w:rFonts w:ascii="黑体" w:hAnsi="黑体"/>
        </w:rPr>
        <w:t>6</w:t>
      </w:r>
      <w:r>
        <w:rPr>
          <w:rFonts w:ascii="黑体" w:hAnsi="黑体"/>
        </w:rPr>
        <w:fldChar w:fldCharType="end"/>
      </w:r>
      <w:r>
        <w:rPr>
          <w:rFonts w:ascii="Times New Roman"/>
        </w:rPr>
        <w:t>。</w:t>
      </w:r>
    </w:p>
    <w:p w14:paraId="264E67F2">
      <w:pPr>
        <w:pStyle w:val="62"/>
        <w:pageBreakBefore w:val="0"/>
        <w:widowControl w:val="0"/>
        <w:kinsoku/>
        <w:bidi w:val="0"/>
        <w:spacing w:beforeAutospacing="0" w:afterAutospacing="0"/>
        <w:ind w:left="0"/>
      </w:pPr>
      <w:bookmarkStart w:id="88" w:name="_Ref43970155"/>
      <w:r>
        <w:rPr>
          <w:rFonts w:hint="eastAsia" w:ascii="黑体" w:hAnsi="黑体"/>
        </w:rPr>
        <w:t xml:space="preserve">表 </w:t>
      </w:r>
      <w:r>
        <w:rPr>
          <w:rFonts w:ascii="黑体" w:hAnsi="黑体"/>
        </w:rPr>
        <w:fldChar w:fldCharType="begin"/>
      </w:r>
      <w:r>
        <w:rPr>
          <w:rFonts w:hint="eastAsia" w:ascii="黑体" w:hAnsi="黑体"/>
        </w:rPr>
        <w:instrText xml:space="preserve">STYLEREF 1 \s</w:instrText>
      </w:r>
      <w:r>
        <w:rPr>
          <w:rFonts w:ascii="黑体" w:hAnsi="黑体"/>
        </w:rPr>
        <w:fldChar w:fldCharType="separate"/>
      </w:r>
      <w:r>
        <w:rPr>
          <w:rFonts w:ascii="黑体" w:hAnsi="黑体"/>
        </w:rPr>
        <w:t>5</w:t>
      </w:r>
      <w:r>
        <w:rPr>
          <w:rFonts w:ascii="黑体" w:hAnsi="黑体"/>
        </w:rPr>
        <w:fldChar w:fldCharType="end"/>
      </w:r>
      <w:r>
        <w:rPr>
          <w:rFonts w:ascii="黑体" w:hAnsi="黑体"/>
        </w:rPr>
        <w:noBreakHyphen/>
      </w:r>
      <w:r>
        <w:rPr>
          <w:rFonts w:ascii="黑体" w:hAnsi="黑体"/>
        </w:rPr>
        <w:fldChar w:fldCharType="begin"/>
      </w:r>
      <w:r>
        <w:rPr>
          <w:rFonts w:hint="eastAsia" w:ascii="黑体" w:hAnsi="黑体"/>
        </w:rPr>
        <w:instrText xml:space="preserve">SEQ 表 \* ARABIC \s 1</w:instrText>
      </w:r>
      <w:r>
        <w:rPr>
          <w:rFonts w:ascii="黑体" w:hAnsi="黑体"/>
        </w:rPr>
        <w:fldChar w:fldCharType="separate"/>
      </w:r>
      <w:r>
        <w:rPr>
          <w:rFonts w:ascii="黑体" w:hAnsi="黑体"/>
        </w:rPr>
        <w:t>4</w:t>
      </w:r>
      <w:r>
        <w:rPr>
          <w:rFonts w:ascii="黑体" w:hAnsi="黑体"/>
        </w:rPr>
        <w:fldChar w:fldCharType="end"/>
      </w:r>
      <w:bookmarkEnd w:id="88"/>
      <w:r>
        <w:t>禽畜粪便排泄系数</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1077"/>
        <w:gridCol w:w="1202"/>
        <w:gridCol w:w="1077"/>
        <w:gridCol w:w="1139"/>
        <w:gridCol w:w="1392"/>
      </w:tblGrid>
      <w:tr w14:paraId="2041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80" w:type="pct"/>
            <w:noWrap/>
            <w:tcMar>
              <w:left w:w="28" w:type="dxa"/>
              <w:right w:w="28" w:type="dxa"/>
            </w:tcMar>
            <w:vAlign w:val="center"/>
          </w:tcPr>
          <w:p w14:paraId="597FD73F">
            <w:pPr>
              <w:pStyle w:val="68"/>
              <w:pageBreakBefore w:val="0"/>
              <w:widowControl w:val="0"/>
              <w:kinsoku/>
              <w:bidi w:val="0"/>
              <w:spacing w:beforeAutospacing="0" w:afterAutospacing="0"/>
              <w:ind w:left="0"/>
              <w:rPr>
                <w:b/>
                <w:bCs/>
              </w:rPr>
            </w:pPr>
            <w:r>
              <w:rPr>
                <w:b/>
                <w:bCs/>
              </w:rPr>
              <w:t>项目</w:t>
            </w:r>
          </w:p>
        </w:tc>
        <w:tc>
          <w:tcPr>
            <w:tcW w:w="644" w:type="pct"/>
            <w:tcMar>
              <w:left w:w="28" w:type="dxa"/>
              <w:right w:w="28" w:type="dxa"/>
            </w:tcMar>
            <w:vAlign w:val="center"/>
          </w:tcPr>
          <w:p w14:paraId="71B20791">
            <w:pPr>
              <w:pStyle w:val="68"/>
              <w:pageBreakBefore w:val="0"/>
              <w:widowControl w:val="0"/>
              <w:kinsoku/>
              <w:bidi w:val="0"/>
              <w:spacing w:beforeAutospacing="0" w:afterAutospacing="0"/>
              <w:ind w:left="0"/>
              <w:rPr>
                <w:b/>
                <w:bCs/>
              </w:rPr>
            </w:pPr>
            <w:r>
              <w:rPr>
                <w:b/>
                <w:bCs/>
              </w:rPr>
              <w:t>猪</w:t>
            </w:r>
          </w:p>
        </w:tc>
        <w:tc>
          <w:tcPr>
            <w:tcW w:w="719" w:type="pct"/>
            <w:noWrap/>
            <w:tcMar>
              <w:left w:w="28" w:type="dxa"/>
              <w:right w:w="28" w:type="dxa"/>
            </w:tcMar>
            <w:vAlign w:val="center"/>
          </w:tcPr>
          <w:p w14:paraId="260A8E34">
            <w:pPr>
              <w:pStyle w:val="68"/>
              <w:pageBreakBefore w:val="0"/>
              <w:widowControl w:val="0"/>
              <w:kinsoku/>
              <w:bidi w:val="0"/>
              <w:spacing w:beforeAutospacing="0" w:afterAutospacing="0"/>
              <w:ind w:left="0"/>
              <w:rPr>
                <w:b/>
                <w:bCs/>
              </w:rPr>
            </w:pPr>
            <w:r>
              <w:rPr>
                <w:b/>
                <w:bCs/>
              </w:rPr>
              <w:t>牛</w:t>
            </w:r>
          </w:p>
        </w:tc>
        <w:tc>
          <w:tcPr>
            <w:tcW w:w="644" w:type="pct"/>
            <w:tcMar>
              <w:left w:w="28" w:type="dxa"/>
              <w:right w:w="28" w:type="dxa"/>
            </w:tcMar>
            <w:vAlign w:val="center"/>
          </w:tcPr>
          <w:p w14:paraId="48709369">
            <w:pPr>
              <w:pStyle w:val="68"/>
              <w:pageBreakBefore w:val="0"/>
              <w:widowControl w:val="0"/>
              <w:kinsoku/>
              <w:bidi w:val="0"/>
              <w:spacing w:beforeAutospacing="0" w:afterAutospacing="0"/>
              <w:ind w:left="0"/>
              <w:rPr>
                <w:b/>
                <w:bCs/>
              </w:rPr>
            </w:pPr>
            <w:r>
              <w:rPr>
                <w:b/>
                <w:bCs/>
              </w:rPr>
              <w:t>羊</w:t>
            </w:r>
          </w:p>
        </w:tc>
        <w:tc>
          <w:tcPr>
            <w:tcW w:w="681" w:type="pct"/>
            <w:noWrap/>
            <w:tcMar>
              <w:left w:w="28" w:type="dxa"/>
              <w:right w:w="28" w:type="dxa"/>
            </w:tcMar>
            <w:vAlign w:val="center"/>
          </w:tcPr>
          <w:p w14:paraId="2020D8D9">
            <w:pPr>
              <w:pStyle w:val="68"/>
              <w:pageBreakBefore w:val="0"/>
              <w:widowControl w:val="0"/>
              <w:kinsoku/>
              <w:bidi w:val="0"/>
              <w:spacing w:beforeAutospacing="0" w:afterAutospacing="0"/>
              <w:ind w:left="0"/>
              <w:rPr>
                <w:b/>
                <w:bCs/>
              </w:rPr>
            </w:pPr>
            <w:r>
              <w:rPr>
                <w:b/>
                <w:bCs/>
              </w:rPr>
              <w:t>鸡</w:t>
            </w:r>
          </w:p>
        </w:tc>
        <w:tc>
          <w:tcPr>
            <w:tcW w:w="832" w:type="pct"/>
            <w:noWrap/>
            <w:tcMar>
              <w:left w:w="28" w:type="dxa"/>
              <w:right w:w="28" w:type="dxa"/>
            </w:tcMar>
            <w:vAlign w:val="center"/>
          </w:tcPr>
          <w:p w14:paraId="49C96252">
            <w:pPr>
              <w:pStyle w:val="68"/>
              <w:pageBreakBefore w:val="0"/>
              <w:widowControl w:val="0"/>
              <w:kinsoku/>
              <w:bidi w:val="0"/>
              <w:spacing w:beforeAutospacing="0" w:afterAutospacing="0"/>
              <w:ind w:left="0"/>
              <w:rPr>
                <w:b/>
                <w:bCs/>
              </w:rPr>
            </w:pPr>
            <w:r>
              <w:rPr>
                <w:b/>
                <w:bCs/>
              </w:rPr>
              <w:t>鸭鹅</w:t>
            </w:r>
          </w:p>
        </w:tc>
      </w:tr>
      <w:tr w14:paraId="1DF8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pct"/>
            <w:noWrap/>
            <w:tcMar>
              <w:left w:w="28" w:type="dxa"/>
              <w:right w:w="28" w:type="dxa"/>
            </w:tcMar>
            <w:vAlign w:val="center"/>
          </w:tcPr>
          <w:p w14:paraId="07D6EB2A">
            <w:pPr>
              <w:pStyle w:val="68"/>
              <w:pageBreakBefore w:val="0"/>
              <w:widowControl w:val="0"/>
              <w:kinsoku/>
              <w:bidi w:val="0"/>
              <w:spacing w:beforeAutospacing="0" w:afterAutospacing="0"/>
              <w:ind w:left="0"/>
            </w:pPr>
            <w:r>
              <w:t>粪（千克/年）</w:t>
            </w:r>
          </w:p>
        </w:tc>
        <w:tc>
          <w:tcPr>
            <w:tcW w:w="644" w:type="pct"/>
            <w:tcMar>
              <w:left w:w="28" w:type="dxa"/>
              <w:right w:w="28" w:type="dxa"/>
            </w:tcMar>
            <w:vAlign w:val="center"/>
          </w:tcPr>
          <w:p w14:paraId="671ED29A">
            <w:pPr>
              <w:pStyle w:val="68"/>
              <w:pageBreakBefore w:val="0"/>
              <w:widowControl w:val="0"/>
              <w:kinsoku/>
              <w:bidi w:val="0"/>
              <w:spacing w:beforeAutospacing="0" w:afterAutospacing="0"/>
              <w:ind w:left="0"/>
            </w:pPr>
            <w:r>
              <w:t>398</w:t>
            </w:r>
          </w:p>
        </w:tc>
        <w:tc>
          <w:tcPr>
            <w:tcW w:w="719" w:type="pct"/>
            <w:noWrap/>
            <w:tcMar>
              <w:left w:w="28" w:type="dxa"/>
              <w:right w:w="28" w:type="dxa"/>
            </w:tcMar>
            <w:vAlign w:val="center"/>
          </w:tcPr>
          <w:p w14:paraId="4DD407F3">
            <w:pPr>
              <w:pStyle w:val="68"/>
              <w:pageBreakBefore w:val="0"/>
              <w:widowControl w:val="0"/>
              <w:kinsoku/>
              <w:bidi w:val="0"/>
              <w:spacing w:beforeAutospacing="0" w:afterAutospacing="0"/>
              <w:ind w:left="0"/>
            </w:pPr>
            <w:r>
              <w:t>7300</w:t>
            </w:r>
          </w:p>
        </w:tc>
        <w:tc>
          <w:tcPr>
            <w:tcW w:w="644" w:type="pct"/>
            <w:tcMar>
              <w:left w:w="28" w:type="dxa"/>
              <w:right w:w="28" w:type="dxa"/>
            </w:tcMar>
            <w:vAlign w:val="center"/>
          </w:tcPr>
          <w:p w14:paraId="6DEAF846">
            <w:pPr>
              <w:pStyle w:val="68"/>
              <w:pageBreakBefore w:val="0"/>
              <w:widowControl w:val="0"/>
              <w:kinsoku/>
              <w:bidi w:val="0"/>
              <w:spacing w:beforeAutospacing="0" w:afterAutospacing="0"/>
              <w:ind w:left="0"/>
            </w:pPr>
            <w:r>
              <w:t>950</w:t>
            </w:r>
          </w:p>
        </w:tc>
        <w:tc>
          <w:tcPr>
            <w:tcW w:w="681" w:type="pct"/>
            <w:noWrap/>
            <w:tcMar>
              <w:left w:w="28" w:type="dxa"/>
              <w:right w:w="28" w:type="dxa"/>
            </w:tcMar>
            <w:vAlign w:val="center"/>
          </w:tcPr>
          <w:p w14:paraId="44AC9399">
            <w:pPr>
              <w:pStyle w:val="68"/>
              <w:pageBreakBefore w:val="0"/>
              <w:widowControl w:val="0"/>
              <w:kinsoku/>
              <w:bidi w:val="0"/>
              <w:spacing w:beforeAutospacing="0" w:afterAutospacing="0"/>
              <w:ind w:left="0"/>
            </w:pPr>
            <w:r>
              <w:t>25.2</w:t>
            </w:r>
          </w:p>
        </w:tc>
        <w:tc>
          <w:tcPr>
            <w:tcW w:w="832" w:type="pct"/>
            <w:noWrap/>
            <w:tcMar>
              <w:left w:w="28" w:type="dxa"/>
              <w:right w:w="28" w:type="dxa"/>
            </w:tcMar>
            <w:vAlign w:val="center"/>
          </w:tcPr>
          <w:p w14:paraId="0E520F35">
            <w:pPr>
              <w:pStyle w:val="68"/>
              <w:pageBreakBefore w:val="0"/>
              <w:widowControl w:val="0"/>
              <w:kinsoku/>
              <w:bidi w:val="0"/>
              <w:spacing w:beforeAutospacing="0" w:afterAutospacing="0"/>
              <w:ind w:left="0"/>
            </w:pPr>
            <w:r>
              <w:t>27.3</w:t>
            </w:r>
          </w:p>
        </w:tc>
      </w:tr>
      <w:tr w14:paraId="64B0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pct"/>
            <w:noWrap/>
            <w:tcMar>
              <w:left w:w="28" w:type="dxa"/>
              <w:right w:w="28" w:type="dxa"/>
            </w:tcMar>
            <w:vAlign w:val="center"/>
          </w:tcPr>
          <w:p w14:paraId="0AE9A49B">
            <w:pPr>
              <w:pStyle w:val="68"/>
              <w:pageBreakBefore w:val="0"/>
              <w:widowControl w:val="0"/>
              <w:kinsoku/>
              <w:bidi w:val="0"/>
              <w:spacing w:beforeAutospacing="0" w:afterAutospacing="0"/>
              <w:ind w:left="0"/>
            </w:pPr>
            <w:r>
              <w:t>尿（千克/年）</w:t>
            </w:r>
          </w:p>
        </w:tc>
        <w:tc>
          <w:tcPr>
            <w:tcW w:w="644" w:type="pct"/>
            <w:tcMar>
              <w:left w:w="28" w:type="dxa"/>
              <w:right w:w="28" w:type="dxa"/>
            </w:tcMar>
            <w:vAlign w:val="center"/>
          </w:tcPr>
          <w:p w14:paraId="36DA7FBB">
            <w:pPr>
              <w:pStyle w:val="68"/>
              <w:pageBreakBefore w:val="0"/>
              <w:widowControl w:val="0"/>
              <w:kinsoku/>
              <w:bidi w:val="0"/>
              <w:spacing w:beforeAutospacing="0" w:afterAutospacing="0"/>
              <w:ind w:left="0"/>
            </w:pPr>
            <w:r>
              <w:t>657</w:t>
            </w:r>
          </w:p>
        </w:tc>
        <w:tc>
          <w:tcPr>
            <w:tcW w:w="719" w:type="pct"/>
            <w:noWrap/>
            <w:tcMar>
              <w:left w:w="28" w:type="dxa"/>
              <w:right w:w="28" w:type="dxa"/>
            </w:tcMar>
            <w:vAlign w:val="center"/>
          </w:tcPr>
          <w:p w14:paraId="317A919D">
            <w:pPr>
              <w:pStyle w:val="68"/>
              <w:pageBreakBefore w:val="0"/>
              <w:widowControl w:val="0"/>
              <w:kinsoku/>
              <w:bidi w:val="0"/>
              <w:spacing w:beforeAutospacing="0" w:afterAutospacing="0"/>
              <w:ind w:left="0"/>
            </w:pPr>
            <w:r>
              <w:t>3650</w:t>
            </w:r>
          </w:p>
        </w:tc>
        <w:tc>
          <w:tcPr>
            <w:tcW w:w="644" w:type="pct"/>
            <w:tcMar>
              <w:left w:w="28" w:type="dxa"/>
              <w:right w:w="28" w:type="dxa"/>
            </w:tcMar>
            <w:vAlign w:val="center"/>
          </w:tcPr>
          <w:p w14:paraId="43A66465">
            <w:pPr>
              <w:pStyle w:val="68"/>
              <w:pageBreakBefore w:val="0"/>
              <w:widowControl w:val="0"/>
              <w:kinsoku/>
              <w:bidi w:val="0"/>
              <w:spacing w:beforeAutospacing="0" w:afterAutospacing="0"/>
              <w:ind w:left="0"/>
            </w:pPr>
            <w:r>
              <w:t>—</w:t>
            </w:r>
          </w:p>
        </w:tc>
        <w:tc>
          <w:tcPr>
            <w:tcW w:w="681" w:type="pct"/>
            <w:noWrap/>
            <w:tcMar>
              <w:left w:w="28" w:type="dxa"/>
              <w:right w:w="28" w:type="dxa"/>
            </w:tcMar>
            <w:vAlign w:val="center"/>
          </w:tcPr>
          <w:p w14:paraId="4FCB5B8D">
            <w:pPr>
              <w:pStyle w:val="68"/>
              <w:pageBreakBefore w:val="0"/>
              <w:widowControl w:val="0"/>
              <w:kinsoku/>
              <w:bidi w:val="0"/>
              <w:spacing w:beforeAutospacing="0" w:afterAutospacing="0"/>
              <w:ind w:left="0"/>
            </w:pPr>
            <w:r>
              <w:t>—</w:t>
            </w:r>
          </w:p>
        </w:tc>
        <w:tc>
          <w:tcPr>
            <w:tcW w:w="832" w:type="pct"/>
            <w:noWrap/>
            <w:tcMar>
              <w:left w:w="28" w:type="dxa"/>
              <w:right w:w="28" w:type="dxa"/>
            </w:tcMar>
            <w:vAlign w:val="center"/>
          </w:tcPr>
          <w:p w14:paraId="16BF0023">
            <w:pPr>
              <w:pStyle w:val="68"/>
              <w:pageBreakBefore w:val="0"/>
              <w:widowControl w:val="0"/>
              <w:kinsoku/>
              <w:bidi w:val="0"/>
              <w:spacing w:beforeAutospacing="0" w:afterAutospacing="0"/>
              <w:ind w:left="0"/>
            </w:pPr>
            <w:r>
              <w:t>—</w:t>
            </w:r>
          </w:p>
        </w:tc>
      </w:tr>
    </w:tbl>
    <w:p w14:paraId="55A3FD33">
      <w:pPr>
        <w:pStyle w:val="62"/>
        <w:pageBreakBefore w:val="0"/>
        <w:widowControl w:val="0"/>
        <w:kinsoku/>
        <w:bidi w:val="0"/>
        <w:spacing w:beforeAutospacing="0" w:afterAutospacing="0"/>
        <w:ind w:left="0"/>
      </w:pPr>
      <w:bookmarkStart w:id="89" w:name="_Ref43970160"/>
      <w:r>
        <w:rPr>
          <w:rFonts w:hint="eastAsia" w:ascii="黑体" w:hAnsi="黑体"/>
        </w:rPr>
        <w:t xml:space="preserve">表 </w:t>
      </w:r>
      <w:r>
        <w:rPr>
          <w:rFonts w:ascii="黑体" w:hAnsi="黑体"/>
        </w:rPr>
        <w:fldChar w:fldCharType="begin"/>
      </w:r>
      <w:r>
        <w:rPr>
          <w:rFonts w:hint="eastAsia" w:ascii="黑体" w:hAnsi="黑体"/>
        </w:rPr>
        <w:instrText xml:space="preserve">STYLEREF 1 \s</w:instrText>
      </w:r>
      <w:r>
        <w:rPr>
          <w:rFonts w:ascii="黑体" w:hAnsi="黑体"/>
        </w:rPr>
        <w:fldChar w:fldCharType="separate"/>
      </w:r>
      <w:r>
        <w:rPr>
          <w:rFonts w:ascii="黑体" w:hAnsi="黑体"/>
        </w:rPr>
        <w:t>5</w:t>
      </w:r>
      <w:r>
        <w:rPr>
          <w:rFonts w:ascii="黑体" w:hAnsi="黑体"/>
        </w:rPr>
        <w:fldChar w:fldCharType="end"/>
      </w:r>
      <w:r>
        <w:rPr>
          <w:rFonts w:ascii="黑体" w:hAnsi="黑体"/>
        </w:rPr>
        <w:noBreakHyphen/>
      </w:r>
      <w:r>
        <w:rPr>
          <w:rFonts w:ascii="黑体" w:hAnsi="黑体"/>
        </w:rPr>
        <w:fldChar w:fldCharType="begin"/>
      </w:r>
      <w:r>
        <w:rPr>
          <w:rFonts w:hint="eastAsia" w:ascii="黑体" w:hAnsi="黑体"/>
        </w:rPr>
        <w:instrText xml:space="preserve">SEQ 表 \* ARABIC \s 1</w:instrText>
      </w:r>
      <w:r>
        <w:rPr>
          <w:rFonts w:ascii="黑体" w:hAnsi="黑体"/>
        </w:rPr>
        <w:fldChar w:fldCharType="separate"/>
      </w:r>
      <w:r>
        <w:rPr>
          <w:rFonts w:ascii="黑体" w:hAnsi="黑体"/>
        </w:rPr>
        <w:t>5</w:t>
      </w:r>
      <w:r>
        <w:rPr>
          <w:rFonts w:ascii="黑体" w:hAnsi="黑体"/>
        </w:rPr>
        <w:fldChar w:fldCharType="end"/>
      </w:r>
      <w:bookmarkEnd w:id="89"/>
      <w:r>
        <w:t>禽畜粪便中污染物平均含量（单位：kg/t）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708"/>
        <w:gridCol w:w="1703"/>
        <w:gridCol w:w="1703"/>
        <w:gridCol w:w="1699"/>
      </w:tblGrid>
      <w:tr w14:paraId="5C5F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vAlign w:val="center"/>
          </w:tcPr>
          <w:p w14:paraId="5F02CD09">
            <w:pPr>
              <w:pStyle w:val="68"/>
              <w:pageBreakBefore w:val="0"/>
              <w:widowControl w:val="0"/>
              <w:kinsoku/>
              <w:bidi w:val="0"/>
              <w:spacing w:beforeAutospacing="0" w:afterAutospacing="0"/>
              <w:ind w:left="0"/>
              <w:rPr>
                <w:b/>
                <w:bCs/>
              </w:rPr>
            </w:pPr>
            <w:r>
              <w:rPr>
                <w:b/>
                <w:bCs/>
              </w:rPr>
              <w:t>项目</w:t>
            </w:r>
          </w:p>
        </w:tc>
        <w:tc>
          <w:tcPr>
            <w:tcW w:w="1002" w:type="pct"/>
            <w:vAlign w:val="center"/>
          </w:tcPr>
          <w:p w14:paraId="6C4895FB">
            <w:pPr>
              <w:pStyle w:val="68"/>
              <w:pageBreakBefore w:val="0"/>
              <w:widowControl w:val="0"/>
              <w:kinsoku/>
              <w:bidi w:val="0"/>
              <w:spacing w:beforeAutospacing="0" w:afterAutospacing="0"/>
              <w:ind w:left="0"/>
              <w:rPr>
                <w:b/>
                <w:bCs/>
              </w:rPr>
            </w:pPr>
            <w:r>
              <w:rPr>
                <w:b/>
                <w:bCs/>
              </w:rPr>
              <w:t>COD</w:t>
            </w:r>
          </w:p>
        </w:tc>
        <w:tc>
          <w:tcPr>
            <w:tcW w:w="999" w:type="pct"/>
            <w:vAlign w:val="center"/>
          </w:tcPr>
          <w:p w14:paraId="08F542C2">
            <w:pPr>
              <w:pStyle w:val="68"/>
              <w:pageBreakBefore w:val="0"/>
              <w:widowControl w:val="0"/>
              <w:kinsoku/>
              <w:bidi w:val="0"/>
              <w:spacing w:beforeAutospacing="0" w:afterAutospacing="0"/>
              <w:ind w:left="0"/>
              <w:rPr>
                <w:b/>
                <w:bCs/>
              </w:rPr>
            </w:pPr>
            <w:r>
              <w:rPr>
                <w:b/>
                <w:bCs/>
              </w:rPr>
              <w:t>NH</w:t>
            </w:r>
            <w:r>
              <w:rPr>
                <w:b/>
                <w:bCs/>
                <w:vertAlign w:val="subscript"/>
              </w:rPr>
              <w:t>3</w:t>
            </w:r>
            <w:r>
              <w:rPr>
                <w:b/>
                <w:bCs/>
              </w:rPr>
              <w:t>-N</w:t>
            </w:r>
          </w:p>
        </w:tc>
        <w:tc>
          <w:tcPr>
            <w:tcW w:w="999" w:type="pct"/>
            <w:vAlign w:val="center"/>
          </w:tcPr>
          <w:p w14:paraId="3A8F83A3">
            <w:pPr>
              <w:pStyle w:val="68"/>
              <w:pageBreakBefore w:val="0"/>
              <w:widowControl w:val="0"/>
              <w:kinsoku/>
              <w:bidi w:val="0"/>
              <w:spacing w:beforeAutospacing="0" w:afterAutospacing="0"/>
              <w:ind w:left="0"/>
              <w:rPr>
                <w:b/>
                <w:bCs/>
              </w:rPr>
            </w:pPr>
            <w:r>
              <w:rPr>
                <w:b/>
                <w:bCs/>
              </w:rPr>
              <w:t>TP</w:t>
            </w:r>
          </w:p>
        </w:tc>
        <w:tc>
          <w:tcPr>
            <w:tcW w:w="998" w:type="pct"/>
            <w:vAlign w:val="center"/>
          </w:tcPr>
          <w:p w14:paraId="0E1D62E9">
            <w:pPr>
              <w:pStyle w:val="68"/>
              <w:pageBreakBefore w:val="0"/>
              <w:widowControl w:val="0"/>
              <w:kinsoku/>
              <w:bidi w:val="0"/>
              <w:spacing w:beforeAutospacing="0" w:afterAutospacing="0"/>
              <w:ind w:left="0"/>
              <w:rPr>
                <w:b/>
                <w:bCs/>
              </w:rPr>
            </w:pPr>
            <w:r>
              <w:rPr>
                <w:b/>
                <w:bCs/>
              </w:rPr>
              <w:t>TN</w:t>
            </w:r>
          </w:p>
        </w:tc>
      </w:tr>
      <w:tr w14:paraId="64FB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vAlign w:val="center"/>
          </w:tcPr>
          <w:p w14:paraId="4439D3C5">
            <w:pPr>
              <w:pStyle w:val="68"/>
              <w:pageBreakBefore w:val="0"/>
              <w:widowControl w:val="0"/>
              <w:kinsoku/>
              <w:bidi w:val="0"/>
              <w:spacing w:beforeAutospacing="0" w:afterAutospacing="0"/>
              <w:ind w:left="0"/>
            </w:pPr>
            <w:r>
              <w:t>鸡粪</w:t>
            </w:r>
          </w:p>
        </w:tc>
        <w:tc>
          <w:tcPr>
            <w:tcW w:w="1002" w:type="pct"/>
            <w:vAlign w:val="center"/>
          </w:tcPr>
          <w:p w14:paraId="362A5993">
            <w:pPr>
              <w:pStyle w:val="68"/>
              <w:pageBreakBefore w:val="0"/>
              <w:widowControl w:val="0"/>
              <w:kinsoku/>
              <w:bidi w:val="0"/>
              <w:spacing w:beforeAutospacing="0" w:afterAutospacing="0"/>
              <w:ind w:left="0"/>
            </w:pPr>
            <w:r>
              <w:t>45</w:t>
            </w:r>
          </w:p>
        </w:tc>
        <w:tc>
          <w:tcPr>
            <w:tcW w:w="999" w:type="pct"/>
            <w:vAlign w:val="center"/>
          </w:tcPr>
          <w:p w14:paraId="585816B9">
            <w:pPr>
              <w:pStyle w:val="68"/>
              <w:pageBreakBefore w:val="0"/>
              <w:widowControl w:val="0"/>
              <w:kinsoku/>
              <w:bidi w:val="0"/>
              <w:spacing w:beforeAutospacing="0" w:afterAutospacing="0"/>
              <w:ind w:left="0"/>
            </w:pPr>
            <w:r>
              <w:t>5.90</w:t>
            </w:r>
          </w:p>
        </w:tc>
        <w:tc>
          <w:tcPr>
            <w:tcW w:w="999" w:type="pct"/>
            <w:vAlign w:val="center"/>
          </w:tcPr>
          <w:p w14:paraId="5BC6C2C3">
            <w:pPr>
              <w:pStyle w:val="68"/>
              <w:pageBreakBefore w:val="0"/>
              <w:widowControl w:val="0"/>
              <w:kinsoku/>
              <w:bidi w:val="0"/>
              <w:spacing w:beforeAutospacing="0" w:afterAutospacing="0"/>
              <w:ind w:left="0"/>
            </w:pPr>
            <w:r>
              <w:t>5.37</w:t>
            </w:r>
          </w:p>
        </w:tc>
        <w:tc>
          <w:tcPr>
            <w:tcW w:w="998" w:type="pct"/>
            <w:vAlign w:val="center"/>
          </w:tcPr>
          <w:p w14:paraId="1BFFA044">
            <w:pPr>
              <w:pStyle w:val="68"/>
              <w:pageBreakBefore w:val="0"/>
              <w:widowControl w:val="0"/>
              <w:kinsoku/>
              <w:bidi w:val="0"/>
              <w:spacing w:beforeAutospacing="0" w:afterAutospacing="0"/>
              <w:ind w:left="0"/>
            </w:pPr>
            <w:r>
              <w:t>9.84</w:t>
            </w:r>
          </w:p>
        </w:tc>
      </w:tr>
      <w:tr w14:paraId="2F95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vAlign w:val="center"/>
          </w:tcPr>
          <w:p w14:paraId="5A45086C">
            <w:pPr>
              <w:pStyle w:val="68"/>
              <w:pageBreakBefore w:val="0"/>
              <w:widowControl w:val="0"/>
              <w:kinsoku/>
              <w:bidi w:val="0"/>
              <w:spacing w:beforeAutospacing="0" w:afterAutospacing="0"/>
              <w:ind w:left="0"/>
            </w:pPr>
            <w:r>
              <w:t>鸭粪</w:t>
            </w:r>
          </w:p>
        </w:tc>
        <w:tc>
          <w:tcPr>
            <w:tcW w:w="1002" w:type="pct"/>
            <w:vAlign w:val="center"/>
          </w:tcPr>
          <w:p w14:paraId="2F680AE1">
            <w:pPr>
              <w:pStyle w:val="68"/>
              <w:pageBreakBefore w:val="0"/>
              <w:widowControl w:val="0"/>
              <w:kinsoku/>
              <w:bidi w:val="0"/>
              <w:spacing w:beforeAutospacing="0" w:afterAutospacing="0"/>
              <w:ind w:left="0"/>
            </w:pPr>
            <w:r>
              <w:t>46.3</w:t>
            </w:r>
          </w:p>
        </w:tc>
        <w:tc>
          <w:tcPr>
            <w:tcW w:w="999" w:type="pct"/>
            <w:vAlign w:val="center"/>
          </w:tcPr>
          <w:p w14:paraId="6FFD7198">
            <w:pPr>
              <w:pStyle w:val="68"/>
              <w:pageBreakBefore w:val="0"/>
              <w:widowControl w:val="0"/>
              <w:kinsoku/>
              <w:bidi w:val="0"/>
              <w:spacing w:beforeAutospacing="0" w:afterAutospacing="0"/>
              <w:ind w:left="0"/>
            </w:pPr>
            <w:r>
              <w:t>6.6</w:t>
            </w:r>
          </w:p>
        </w:tc>
        <w:tc>
          <w:tcPr>
            <w:tcW w:w="999" w:type="pct"/>
            <w:vAlign w:val="center"/>
          </w:tcPr>
          <w:p w14:paraId="0B28FB12">
            <w:pPr>
              <w:pStyle w:val="68"/>
              <w:pageBreakBefore w:val="0"/>
              <w:widowControl w:val="0"/>
              <w:kinsoku/>
              <w:bidi w:val="0"/>
              <w:spacing w:beforeAutospacing="0" w:afterAutospacing="0"/>
              <w:ind w:left="0"/>
            </w:pPr>
            <w:r>
              <w:t>6.2</w:t>
            </w:r>
          </w:p>
        </w:tc>
        <w:tc>
          <w:tcPr>
            <w:tcW w:w="998" w:type="pct"/>
            <w:vAlign w:val="center"/>
          </w:tcPr>
          <w:p w14:paraId="62AB110A">
            <w:pPr>
              <w:pStyle w:val="68"/>
              <w:pageBreakBefore w:val="0"/>
              <w:widowControl w:val="0"/>
              <w:kinsoku/>
              <w:bidi w:val="0"/>
              <w:spacing w:beforeAutospacing="0" w:afterAutospacing="0"/>
              <w:ind w:left="0"/>
            </w:pPr>
            <w:r>
              <w:t>11</w:t>
            </w:r>
          </w:p>
        </w:tc>
      </w:tr>
      <w:tr w14:paraId="7A16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vAlign w:val="center"/>
          </w:tcPr>
          <w:p w14:paraId="6A0D22CD">
            <w:pPr>
              <w:pStyle w:val="68"/>
              <w:pageBreakBefore w:val="0"/>
              <w:widowControl w:val="0"/>
              <w:kinsoku/>
              <w:bidi w:val="0"/>
              <w:spacing w:beforeAutospacing="0" w:afterAutospacing="0"/>
              <w:ind w:left="0"/>
            </w:pPr>
            <w:r>
              <w:t>猪粪</w:t>
            </w:r>
          </w:p>
        </w:tc>
        <w:tc>
          <w:tcPr>
            <w:tcW w:w="1002" w:type="pct"/>
            <w:vAlign w:val="center"/>
          </w:tcPr>
          <w:p w14:paraId="50856978">
            <w:pPr>
              <w:pStyle w:val="68"/>
              <w:pageBreakBefore w:val="0"/>
              <w:widowControl w:val="0"/>
              <w:kinsoku/>
              <w:bidi w:val="0"/>
              <w:spacing w:beforeAutospacing="0" w:afterAutospacing="0"/>
              <w:ind w:left="0"/>
            </w:pPr>
            <w:r>
              <w:t>52.0</w:t>
            </w:r>
          </w:p>
        </w:tc>
        <w:tc>
          <w:tcPr>
            <w:tcW w:w="999" w:type="pct"/>
            <w:vAlign w:val="center"/>
          </w:tcPr>
          <w:p w14:paraId="51CD8222">
            <w:pPr>
              <w:pStyle w:val="68"/>
              <w:pageBreakBefore w:val="0"/>
              <w:widowControl w:val="0"/>
              <w:kinsoku/>
              <w:bidi w:val="0"/>
              <w:spacing w:beforeAutospacing="0" w:afterAutospacing="0"/>
              <w:ind w:left="0"/>
            </w:pPr>
            <w:r>
              <w:t>3.1</w:t>
            </w:r>
          </w:p>
        </w:tc>
        <w:tc>
          <w:tcPr>
            <w:tcW w:w="999" w:type="pct"/>
            <w:vAlign w:val="center"/>
          </w:tcPr>
          <w:p w14:paraId="6C47F068">
            <w:pPr>
              <w:pStyle w:val="68"/>
              <w:pageBreakBefore w:val="0"/>
              <w:widowControl w:val="0"/>
              <w:kinsoku/>
              <w:bidi w:val="0"/>
              <w:spacing w:beforeAutospacing="0" w:afterAutospacing="0"/>
              <w:ind w:left="0"/>
            </w:pPr>
            <w:r>
              <w:t>3.4</w:t>
            </w:r>
          </w:p>
        </w:tc>
        <w:tc>
          <w:tcPr>
            <w:tcW w:w="998" w:type="pct"/>
            <w:vAlign w:val="center"/>
          </w:tcPr>
          <w:p w14:paraId="6217C042">
            <w:pPr>
              <w:pStyle w:val="68"/>
              <w:pageBreakBefore w:val="0"/>
              <w:widowControl w:val="0"/>
              <w:kinsoku/>
              <w:bidi w:val="0"/>
              <w:spacing w:beforeAutospacing="0" w:afterAutospacing="0"/>
              <w:ind w:left="0"/>
            </w:pPr>
            <w:r>
              <w:t>5.9</w:t>
            </w:r>
          </w:p>
        </w:tc>
      </w:tr>
      <w:tr w14:paraId="144E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vAlign w:val="center"/>
          </w:tcPr>
          <w:p w14:paraId="762AD456">
            <w:pPr>
              <w:pStyle w:val="68"/>
              <w:pageBreakBefore w:val="0"/>
              <w:widowControl w:val="0"/>
              <w:kinsoku/>
              <w:bidi w:val="0"/>
              <w:spacing w:beforeAutospacing="0" w:afterAutospacing="0"/>
              <w:ind w:left="0"/>
            </w:pPr>
            <w:r>
              <w:t>猪尿</w:t>
            </w:r>
          </w:p>
        </w:tc>
        <w:tc>
          <w:tcPr>
            <w:tcW w:w="1002" w:type="pct"/>
            <w:vAlign w:val="center"/>
          </w:tcPr>
          <w:p w14:paraId="57C881EC">
            <w:pPr>
              <w:pStyle w:val="68"/>
              <w:pageBreakBefore w:val="0"/>
              <w:widowControl w:val="0"/>
              <w:kinsoku/>
              <w:bidi w:val="0"/>
              <w:spacing w:beforeAutospacing="0" w:afterAutospacing="0"/>
              <w:ind w:left="0"/>
            </w:pPr>
            <w:r>
              <w:t>9.0</w:t>
            </w:r>
          </w:p>
        </w:tc>
        <w:tc>
          <w:tcPr>
            <w:tcW w:w="999" w:type="pct"/>
            <w:vAlign w:val="center"/>
          </w:tcPr>
          <w:p w14:paraId="2F25B1FA">
            <w:pPr>
              <w:pStyle w:val="68"/>
              <w:pageBreakBefore w:val="0"/>
              <w:widowControl w:val="0"/>
              <w:kinsoku/>
              <w:bidi w:val="0"/>
              <w:spacing w:beforeAutospacing="0" w:afterAutospacing="0"/>
              <w:ind w:left="0"/>
            </w:pPr>
            <w:r>
              <w:t>1.4</w:t>
            </w:r>
          </w:p>
        </w:tc>
        <w:tc>
          <w:tcPr>
            <w:tcW w:w="999" w:type="pct"/>
            <w:vAlign w:val="center"/>
          </w:tcPr>
          <w:p w14:paraId="1A548D77">
            <w:pPr>
              <w:pStyle w:val="68"/>
              <w:pageBreakBefore w:val="0"/>
              <w:widowControl w:val="0"/>
              <w:kinsoku/>
              <w:bidi w:val="0"/>
              <w:spacing w:beforeAutospacing="0" w:afterAutospacing="0"/>
              <w:ind w:left="0"/>
            </w:pPr>
            <w:r>
              <w:t>0.5</w:t>
            </w:r>
          </w:p>
        </w:tc>
        <w:tc>
          <w:tcPr>
            <w:tcW w:w="998" w:type="pct"/>
            <w:vAlign w:val="center"/>
          </w:tcPr>
          <w:p w14:paraId="14F3B712">
            <w:pPr>
              <w:pStyle w:val="68"/>
              <w:pageBreakBefore w:val="0"/>
              <w:widowControl w:val="0"/>
              <w:kinsoku/>
              <w:bidi w:val="0"/>
              <w:spacing w:beforeAutospacing="0" w:afterAutospacing="0"/>
              <w:ind w:left="0"/>
            </w:pPr>
            <w:r>
              <w:t>3.3</w:t>
            </w:r>
          </w:p>
        </w:tc>
      </w:tr>
    </w:tbl>
    <w:p w14:paraId="04592B5A">
      <w:pPr>
        <w:pStyle w:val="62"/>
        <w:pageBreakBefore w:val="0"/>
        <w:widowControl w:val="0"/>
        <w:kinsoku/>
        <w:bidi w:val="0"/>
        <w:spacing w:beforeAutospacing="0" w:afterAutospacing="0"/>
        <w:ind w:left="0"/>
        <w:rPr>
          <w:sz w:val="24"/>
          <w:szCs w:val="24"/>
        </w:rPr>
      </w:pPr>
      <w:bookmarkStart w:id="90" w:name="_Ref43970166"/>
      <w:r>
        <w:rPr>
          <w:rFonts w:hint="eastAsia" w:ascii="黑体" w:hAnsi="黑体"/>
          <w:sz w:val="24"/>
          <w:szCs w:val="24"/>
        </w:rPr>
        <w:t xml:space="preserve">表 </w:t>
      </w:r>
      <w:r>
        <w:rPr>
          <w:rFonts w:ascii="黑体" w:hAnsi="黑体"/>
          <w:sz w:val="24"/>
          <w:szCs w:val="24"/>
        </w:rPr>
        <w:fldChar w:fldCharType="begin"/>
      </w:r>
      <w:r>
        <w:rPr>
          <w:rFonts w:hint="eastAsia" w:ascii="黑体" w:hAnsi="黑体"/>
          <w:sz w:val="24"/>
          <w:szCs w:val="24"/>
        </w:rPr>
        <w:instrText xml:space="preserve">STYLEREF 1 \s</w:instrText>
      </w:r>
      <w:r>
        <w:rPr>
          <w:rFonts w:ascii="黑体" w:hAnsi="黑体"/>
          <w:sz w:val="24"/>
          <w:szCs w:val="24"/>
        </w:rPr>
        <w:fldChar w:fldCharType="separate"/>
      </w:r>
      <w:r>
        <w:rPr>
          <w:rFonts w:ascii="黑体" w:hAnsi="黑体"/>
          <w:sz w:val="24"/>
          <w:szCs w:val="24"/>
        </w:rPr>
        <w:t>5</w:t>
      </w:r>
      <w:r>
        <w:rPr>
          <w:rFonts w:ascii="黑体" w:hAnsi="黑体"/>
          <w:sz w:val="24"/>
          <w:szCs w:val="24"/>
        </w:rPr>
        <w:fldChar w:fldCharType="end"/>
      </w:r>
      <w:r>
        <w:rPr>
          <w:rFonts w:ascii="黑体" w:hAnsi="黑体"/>
          <w:sz w:val="24"/>
          <w:szCs w:val="24"/>
        </w:rPr>
        <w:noBreakHyphen/>
      </w:r>
      <w:r>
        <w:rPr>
          <w:rFonts w:ascii="黑体" w:hAnsi="黑体"/>
          <w:sz w:val="24"/>
          <w:szCs w:val="24"/>
        </w:rPr>
        <w:fldChar w:fldCharType="begin"/>
      </w:r>
      <w:r>
        <w:rPr>
          <w:rFonts w:hint="eastAsia" w:ascii="黑体" w:hAnsi="黑体"/>
          <w:sz w:val="24"/>
          <w:szCs w:val="24"/>
        </w:rPr>
        <w:instrText xml:space="preserve">SEQ 表 \* ARABIC \s 1</w:instrText>
      </w:r>
      <w:r>
        <w:rPr>
          <w:rFonts w:ascii="黑体" w:hAnsi="黑体"/>
          <w:sz w:val="24"/>
          <w:szCs w:val="24"/>
        </w:rPr>
        <w:fldChar w:fldCharType="separate"/>
      </w:r>
      <w:r>
        <w:rPr>
          <w:rFonts w:ascii="黑体" w:hAnsi="黑体"/>
          <w:sz w:val="24"/>
          <w:szCs w:val="24"/>
        </w:rPr>
        <w:t>6</w:t>
      </w:r>
      <w:r>
        <w:rPr>
          <w:rFonts w:ascii="黑体" w:hAnsi="黑体"/>
          <w:sz w:val="24"/>
          <w:szCs w:val="24"/>
        </w:rPr>
        <w:fldChar w:fldCharType="end"/>
      </w:r>
      <w:bookmarkEnd w:id="90"/>
      <w:r>
        <w:rPr>
          <w:rFonts w:hint="eastAsia"/>
          <w:sz w:val="24"/>
          <w:szCs w:val="24"/>
          <w:lang w:eastAsia="zh-CN"/>
        </w:rPr>
        <w:t>黄石镇铁炉村饮用水源地</w:t>
      </w:r>
      <w:r>
        <w:rPr>
          <w:sz w:val="24"/>
          <w:szCs w:val="24"/>
        </w:rPr>
        <w:t>周边畜禽散养污染物排放量计算一览表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23"/>
        <w:gridCol w:w="922"/>
        <w:gridCol w:w="844"/>
        <w:gridCol w:w="1211"/>
        <w:gridCol w:w="1027"/>
        <w:gridCol w:w="946"/>
        <w:gridCol w:w="1024"/>
        <w:gridCol w:w="878"/>
      </w:tblGrid>
      <w:tr w14:paraId="6E3A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9" w:type="pct"/>
            <w:vMerge w:val="restart"/>
            <w:vAlign w:val="center"/>
          </w:tcPr>
          <w:p w14:paraId="350F5584">
            <w:pPr>
              <w:pStyle w:val="68"/>
              <w:pageBreakBefore w:val="0"/>
              <w:widowControl w:val="0"/>
              <w:kinsoku/>
              <w:bidi w:val="0"/>
              <w:spacing w:beforeAutospacing="0" w:afterAutospacing="0"/>
              <w:ind w:left="0"/>
              <w:rPr>
                <w:b/>
                <w:bCs/>
              </w:rPr>
            </w:pPr>
            <w:r>
              <w:rPr>
                <w:b/>
                <w:bCs/>
              </w:rPr>
              <w:t>序号</w:t>
            </w:r>
          </w:p>
        </w:tc>
        <w:tc>
          <w:tcPr>
            <w:tcW w:w="600" w:type="pct"/>
            <w:vMerge w:val="restart"/>
            <w:vAlign w:val="center"/>
          </w:tcPr>
          <w:p w14:paraId="6CA37541">
            <w:pPr>
              <w:pStyle w:val="68"/>
              <w:pageBreakBefore w:val="0"/>
              <w:widowControl w:val="0"/>
              <w:kinsoku/>
              <w:bidi w:val="0"/>
              <w:spacing w:beforeAutospacing="0" w:afterAutospacing="0"/>
              <w:ind w:left="0"/>
              <w:rPr>
                <w:b/>
                <w:bCs/>
              </w:rPr>
            </w:pPr>
            <w:r>
              <w:rPr>
                <w:b/>
                <w:bCs/>
              </w:rPr>
              <w:t>养殖种类</w:t>
            </w:r>
          </w:p>
        </w:tc>
        <w:tc>
          <w:tcPr>
            <w:tcW w:w="540" w:type="pct"/>
            <w:vMerge w:val="restart"/>
            <w:vAlign w:val="center"/>
          </w:tcPr>
          <w:p w14:paraId="141C956A">
            <w:pPr>
              <w:pStyle w:val="68"/>
              <w:pageBreakBefore w:val="0"/>
              <w:widowControl w:val="0"/>
              <w:kinsoku/>
              <w:bidi w:val="0"/>
              <w:spacing w:beforeAutospacing="0" w:afterAutospacing="0"/>
              <w:ind w:left="0"/>
              <w:rPr>
                <w:b/>
                <w:bCs/>
              </w:rPr>
            </w:pPr>
            <w:r>
              <w:rPr>
                <w:b/>
                <w:bCs/>
              </w:rPr>
              <w:t>规模</w:t>
            </w:r>
            <w:r>
              <w:rPr>
                <w:rFonts w:hint="eastAsia"/>
                <w:b/>
                <w:bCs/>
              </w:rPr>
              <w:t>（只）</w:t>
            </w:r>
          </w:p>
        </w:tc>
        <w:tc>
          <w:tcPr>
            <w:tcW w:w="495" w:type="pct"/>
            <w:vMerge w:val="restart"/>
            <w:vAlign w:val="center"/>
          </w:tcPr>
          <w:p w14:paraId="28D9AFF1">
            <w:pPr>
              <w:pStyle w:val="68"/>
              <w:pageBreakBefore w:val="0"/>
              <w:widowControl w:val="0"/>
              <w:kinsoku/>
              <w:bidi w:val="0"/>
              <w:spacing w:beforeAutospacing="0" w:afterAutospacing="0"/>
              <w:ind w:left="0"/>
              <w:rPr>
                <w:b/>
                <w:bCs/>
              </w:rPr>
            </w:pPr>
            <w:r>
              <w:rPr>
                <w:b/>
                <w:bCs/>
              </w:rPr>
              <w:t>污染来源</w:t>
            </w:r>
          </w:p>
        </w:tc>
        <w:tc>
          <w:tcPr>
            <w:tcW w:w="710" w:type="pct"/>
            <w:vMerge w:val="restart"/>
            <w:vAlign w:val="center"/>
          </w:tcPr>
          <w:p w14:paraId="2F093A06">
            <w:pPr>
              <w:pStyle w:val="68"/>
              <w:pageBreakBefore w:val="0"/>
              <w:widowControl w:val="0"/>
              <w:kinsoku/>
              <w:bidi w:val="0"/>
              <w:spacing w:beforeAutospacing="0" w:afterAutospacing="0"/>
              <w:ind w:left="0"/>
              <w:rPr>
                <w:b/>
                <w:bCs/>
              </w:rPr>
            </w:pPr>
            <w:r>
              <w:rPr>
                <w:b/>
                <w:bCs/>
              </w:rPr>
              <w:t>产生量（t/a）</w:t>
            </w:r>
          </w:p>
        </w:tc>
        <w:tc>
          <w:tcPr>
            <w:tcW w:w="2273" w:type="pct"/>
            <w:gridSpan w:val="4"/>
            <w:vAlign w:val="center"/>
          </w:tcPr>
          <w:p w14:paraId="476D015E">
            <w:pPr>
              <w:pStyle w:val="68"/>
              <w:pageBreakBefore w:val="0"/>
              <w:widowControl w:val="0"/>
              <w:kinsoku/>
              <w:bidi w:val="0"/>
              <w:spacing w:beforeAutospacing="0" w:afterAutospacing="0"/>
              <w:ind w:left="0"/>
              <w:rPr>
                <w:b/>
                <w:bCs/>
              </w:rPr>
            </w:pPr>
            <w:r>
              <w:rPr>
                <w:b/>
                <w:bCs/>
              </w:rPr>
              <w:t>污染物负荷（kg/a）</w:t>
            </w:r>
          </w:p>
        </w:tc>
      </w:tr>
      <w:tr w14:paraId="2270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9" w:type="pct"/>
            <w:vMerge w:val="continue"/>
            <w:vAlign w:val="center"/>
          </w:tcPr>
          <w:p w14:paraId="02CCB0C9">
            <w:pPr>
              <w:pStyle w:val="68"/>
              <w:pageBreakBefore w:val="0"/>
              <w:widowControl w:val="0"/>
              <w:kinsoku/>
              <w:bidi w:val="0"/>
              <w:spacing w:beforeAutospacing="0" w:afterAutospacing="0"/>
              <w:ind w:left="0"/>
              <w:rPr>
                <w:b/>
                <w:bCs/>
              </w:rPr>
            </w:pPr>
          </w:p>
        </w:tc>
        <w:tc>
          <w:tcPr>
            <w:tcW w:w="600" w:type="pct"/>
            <w:vMerge w:val="continue"/>
            <w:vAlign w:val="center"/>
          </w:tcPr>
          <w:p w14:paraId="538AA765">
            <w:pPr>
              <w:pStyle w:val="68"/>
              <w:pageBreakBefore w:val="0"/>
              <w:widowControl w:val="0"/>
              <w:kinsoku/>
              <w:bidi w:val="0"/>
              <w:spacing w:beforeAutospacing="0" w:afterAutospacing="0"/>
              <w:ind w:left="0"/>
              <w:rPr>
                <w:b/>
                <w:bCs/>
              </w:rPr>
            </w:pPr>
          </w:p>
        </w:tc>
        <w:tc>
          <w:tcPr>
            <w:tcW w:w="540" w:type="pct"/>
            <w:vMerge w:val="continue"/>
            <w:vAlign w:val="center"/>
          </w:tcPr>
          <w:p w14:paraId="130ECE10">
            <w:pPr>
              <w:pStyle w:val="68"/>
              <w:pageBreakBefore w:val="0"/>
              <w:widowControl w:val="0"/>
              <w:kinsoku/>
              <w:bidi w:val="0"/>
              <w:spacing w:beforeAutospacing="0" w:afterAutospacing="0"/>
              <w:ind w:left="0"/>
              <w:rPr>
                <w:b/>
                <w:bCs/>
              </w:rPr>
            </w:pPr>
          </w:p>
        </w:tc>
        <w:tc>
          <w:tcPr>
            <w:tcW w:w="495" w:type="pct"/>
            <w:vMerge w:val="continue"/>
            <w:vAlign w:val="center"/>
          </w:tcPr>
          <w:p w14:paraId="6AEDC51D">
            <w:pPr>
              <w:pStyle w:val="68"/>
              <w:pageBreakBefore w:val="0"/>
              <w:widowControl w:val="0"/>
              <w:kinsoku/>
              <w:bidi w:val="0"/>
              <w:spacing w:beforeAutospacing="0" w:afterAutospacing="0"/>
              <w:ind w:left="0"/>
              <w:rPr>
                <w:b/>
                <w:bCs/>
              </w:rPr>
            </w:pPr>
          </w:p>
        </w:tc>
        <w:tc>
          <w:tcPr>
            <w:tcW w:w="710" w:type="pct"/>
            <w:vMerge w:val="continue"/>
            <w:vAlign w:val="center"/>
          </w:tcPr>
          <w:p w14:paraId="34252D1D">
            <w:pPr>
              <w:pStyle w:val="68"/>
              <w:pageBreakBefore w:val="0"/>
              <w:widowControl w:val="0"/>
              <w:kinsoku/>
              <w:bidi w:val="0"/>
              <w:spacing w:beforeAutospacing="0" w:afterAutospacing="0"/>
              <w:ind w:left="0"/>
              <w:rPr>
                <w:b/>
                <w:bCs/>
              </w:rPr>
            </w:pPr>
          </w:p>
        </w:tc>
        <w:tc>
          <w:tcPr>
            <w:tcW w:w="602" w:type="pct"/>
            <w:vAlign w:val="center"/>
          </w:tcPr>
          <w:p w14:paraId="3245F49E">
            <w:pPr>
              <w:pStyle w:val="68"/>
              <w:pageBreakBefore w:val="0"/>
              <w:widowControl w:val="0"/>
              <w:kinsoku/>
              <w:bidi w:val="0"/>
              <w:spacing w:beforeAutospacing="0" w:afterAutospacing="0"/>
              <w:ind w:left="0"/>
              <w:rPr>
                <w:b/>
                <w:bCs/>
              </w:rPr>
            </w:pPr>
            <w:r>
              <w:rPr>
                <w:b/>
                <w:bCs/>
              </w:rPr>
              <w:t>COD</w:t>
            </w:r>
          </w:p>
        </w:tc>
        <w:tc>
          <w:tcPr>
            <w:tcW w:w="555" w:type="pct"/>
            <w:vAlign w:val="center"/>
          </w:tcPr>
          <w:p w14:paraId="18FD32CD">
            <w:pPr>
              <w:pStyle w:val="68"/>
              <w:pageBreakBefore w:val="0"/>
              <w:widowControl w:val="0"/>
              <w:kinsoku/>
              <w:bidi w:val="0"/>
              <w:spacing w:beforeAutospacing="0" w:afterAutospacing="0"/>
              <w:ind w:left="0"/>
              <w:rPr>
                <w:b/>
                <w:bCs/>
              </w:rPr>
            </w:pPr>
            <w:r>
              <w:rPr>
                <w:b/>
                <w:bCs/>
              </w:rPr>
              <w:t>NH</w:t>
            </w:r>
            <w:r>
              <w:rPr>
                <w:b/>
                <w:bCs/>
                <w:vertAlign w:val="subscript"/>
              </w:rPr>
              <w:t>3</w:t>
            </w:r>
            <w:r>
              <w:rPr>
                <w:b/>
                <w:bCs/>
              </w:rPr>
              <w:t>-N</w:t>
            </w:r>
          </w:p>
        </w:tc>
        <w:tc>
          <w:tcPr>
            <w:tcW w:w="600" w:type="pct"/>
            <w:vAlign w:val="center"/>
          </w:tcPr>
          <w:p w14:paraId="265BB198">
            <w:pPr>
              <w:pStyle w:val="68"/>
              <w:pageBreakBefore w:val="0"/>
              <w:widowControl w:val="0"/>
              <w:kinsoku/>
              <w:bidi w:val="0"/>
              <w:spacing w:beforeAutospacing="0" w:afterAutospacing="0"/>
              <w:ind w:left="0"/>
              <w:rPr>
                <w:b/>
                <w:bCs/>
              </w:rPr>
            </w:pPr>
            <w:r>
              <w:rPr>
                <w:b/>
                <w:bCs/>
              </w:rPr>
              <w:t>TN</w:t>
            </w:r>
          </w:p>
        </w:tc>
        <w:tc>
          <w:tcPr>
            <w:tcW w:w="515" w:type="pct"/>
            <w:vAlign w:val="center"/>
          </w:tcPr>
          <w:p w14:paraId="7A7354B1">
            <w:pPr>
              <w:pStyle w:val="68"/>
              <w:pageBreakBefore w:val="0"/>
              <w:widowControl w:val="0"/>
              <w:kinsoku/>
              <w:bidi w:val="0"/>
              <w:spacing w:beforeAutospacing="0" w:afterAutospacing="0"/>
              <w:ind w:left="0"/>
              <w:rPr>
                <w:b/>
                <w:bCs/>
              </w:rPr>
            </w:pPr>
            <w:r>
              <w:rPr>
                <w:b/>
                <w:bCs/>
              </w:rPr>
              <w:t>TP</w:t>
            </w:r>
          </w:p>
        </w:tc>
      </w:tr>
      <w:tr w14:paraId="7BE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Align w:val="center"/>
          </w:tcPr>
          <w:p w14:paraId="38D29BCD">
            <w:pPr>
              <w:pStyle w:val="68"/>
              <w:pageBreakBefore w:val="0"/>
              <w:widowControl w:val="0"/>
              <w:kinsoku/>
              <w:bidi w:val="0"/>
              <w:spacing w:beforeAutospacing="0" w:afterAutospacing="0"/>
              <w:ind w:left="0"/>
            </w:pPr>
            <w:r>
              <w:rPr>
                <w:rFonts w:hint="eastAsia"/>
              </w:rPr>
              <w:t>1</w:t>
            </w:r>
          </w:p>
        </w:tc>
        <w:tc>
          <w:tcPr>
            <w:tcW w:w="600" w:type="pct"/>
            <w:vAlign w:val="center"/>
          </w:tcPr>
          <w:p w14:paraId="34A8D753">
            <w:pPr>
              <w:pStyle w:val="68"/>
              <w:pageBreakBefore w:val="0"/>
              <w:widowControl w:val="0"/>
              <w:kinsoku/>
              <w:bidi w:val="0"/>
              <w:spacing w:beforeAutospacing="0" w:afterAutospacing="0"/>
              <w:ind w:left="0"/>
            </w:pPr>
            <w:r>
              <w:rPr>
                <w:rFonts w:hint="eastAsia"/>
              </w:rPr>
              <w:t>猪</w:t>
            </w:r>
          </w:p>
        </w:tc>
        <w:tc>
          <w:tcPr>
            <w:tcW w:w="540" w:type="pct"/>
            <w:vAlign w:val="center"/>
          </w:tcPr>
          <w:p w14:paraId="076D30D5">
            <w:pPr>
              <w:pStyle w:val="68"/>
              <w:pageBreakBefore w:val="0"/>
              <w:widowControl w:val="0"/>
              <w:kinsoku/>
              <w:bidi w:val="0"/>
              <w:spacing w:beforeAutospacing="0" w:afterAutospacing="0"/>
              <w:ind w:left="0"/>
              <w:rPr>
                <w:rFonts w:hint="eastAsia" w:eastAsiaTheme="minorEastAsia"/>
                <w:lang w:eastAsia="zh-CN"/>
              </w:rPr>
            </w:pPr>
            <w:r>
              <w:rPr>
                <w:rFonts w:hint="eastAsia"/>
                <w:lang w:val="en-US" w:eastAsia="zh-CN"/>
              </w:rPr>
              <w:t>3</w:t>
            </w:r>
          </w:p>
        </w:tc>
        <w:tc>
          <w:tcPr>
            <w:tcW w:w="495" w:type="pct"/>
            <w:vMerge w:val="restart"/>
            <w:vAlign w:val="center"/>
          </w:tcPr>
          <w:p w14:paraId="08375AA8">
            <w:pPr>
              <w:pStyle w:val="68"/>
              <w:pageBreakBefore w:val="0"/>
              <w:widowControl w:val="0"/>
              <w:kinsoku/>
              <w:bidi w:val="0"/>
              <w:spacing w:beforeAutospacing="0" w:afterAutospacing="0"/>
              <w:ind w:left="0"/>
            </w:pPr>
            <w:r>
              <w:t>粪</w:t>
            </w:r>
          </w:p>
        </w:tc>
        <w:tc>
          <w:tcPr>
            <w:tcW w:w="710" w:type="pct"/>
            <w:vAlign w:val="center"/>
          </w:tcPr>
          <w:p w14:paraId="7309CBD8">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1.194</w:t>
            </w:r>
          </w:p>
        </w:tc>
        <w:tc>
          <w:tcPr>
            <w:tcW w:w="602" w:type="pct"/>
            <w:vAlign w:val="center"/>
          </w:tcPr>
          <w:p w14:paraId="4C52BAB4">
            <w:pPr>
              <w:pStyle w:val="68"/>
              <w:pageBreakBefore w:val="0"/>
              <w:widowControl w:val="0"/>
              <w:kinsoku/>
              <w:bidi w:val="0"/>
              <w:spacing w:beforeAutospacing="0" w:afterAutospacing="0"/>
              <w:ind w:left="0"/>
              <w:rPr>
                <w:rFonts w:hint="default" w:eastAsiaTheme="minorEastAsia"/>
                <w:lang w:val="en-US" w:eastAsia="zh-CN"/>
              </w:rPr>
            </w:pPr>
            <w:r>
              <w:rPr>
                <w:rFonts w:hint="eastAsia"/>
              </w:rPr>
              <w:t>62</w:t>
            </w:r>
            <w:r>
              <w:rPr>
                <w:rFonts w:hint="eastAsia"/>
                <w:lang w:val="en-US" w:eastAsia="zh-CN"/>
              </w:rPr>
              <w:t>.088</w:t>
            </w:r>
          </w:p>
        </w:tc>
        <w:tc>
          <w:tcPr>
            <w:tcW w:w="555" w:type="pct"/>
            <w:vAlign w:val="center"/>
          </w:tcPr>
          <w:p w14:paraId="242CBCF1">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3.702</w:t>
            </w:r>
          </w:p>
        </w:tc>
        <w:tc>
          <w:tcPr>
            <w:tcW w:w="600" w:type="pct"/>
            <w:vAlign w:val="center"/>
          </w:tcPr>
          <w:p w14:paraId="43F679C0">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7.044</w:t>
            </w:r>
          </w:p>
        </w:tc>
        <w:tc>
          <w:tcPr>
            <w:tcW w:w="515" w:type="pct"/>
            <w:vAlign w:val="center"/>
          </w:tcPr>
          <w:p w14:paraId="2D90956A">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7.404</w:t>
            </w:r>
          </w:p>
        </w:tc>
      </w:tr>
      <w:tr w14:paraId="118E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Align w:val="center"/>
          </w:tcPr>
          <w:p w14:paraId="2A1B5C76">
            <w:pPr>
              <w:pStyle w:val="68"/>
              <w:pageBreakBefore w:val="0"/>
              <w:widowControl w:val="0"/>
              <w:kinsoku/>
              <w:bidi w:val="0"/>
              <w:spacing w:beforeAutospacing="0" w:afterAutospacing="0"/>
              <w:ind w:left="0"/>
              <w:rPr>
                <w:rFonts w:hint="eastAsia" w:eastAsiaTheme="minorEastAsia"/>
                <w:lang w:val="en-US" w:eastAsia="zh-CN"/>
              </w:rPr>
            </w:pPr>
            <w:r>
              <w:rPr>
                <w:rFonts w:hint="eastAsia"/>
                <w:lang w:val="en-US" w:eastAsia="zh-CN"/>
              </w:rPr>
              <w:t>2</w:t>
            </w:r>
          </w:p>
        </w:tc>
        <w:tc>
          <w:tcPr>
            <w:tcW w:w="600" w:type="pct"/>
            <w:vAlign w:val="center"/>
          </w:tcPr>
          <w:p w14:paraId="1F29562F">
            <w:pPr>
              <w:pStyle w:val="68"/>
              <w:pageBreakBefore w:val="0"/>
              <w:widowControl w:val="0"/>
              <w:kinsoku/>
              <w:bidi w:val="0"/>
              <w:spacing w:beforeAutospacing="0" w:afterAutospacing="0"/>
              <w:ind w:left="0"/>
            </w:pPr>
            <w:r>
              <w:rPr>
                <w:rFonts w:hint="eastAsia"/>
              </w:rPr>
              <w:t>鸡</w:t>
            </w:r>
          </w:p>
        </w:tc>
        <w:tc>
          <w:tcPr>
            <w:tcW w:w="540" w:type="pct"/>
            <w:vAlign w:val="center"/>
          </w:tcPr>
          <w:p w14:paraId="294AAE65">
            <w:pPr>
              <w:pStyle w:val="68"/>
              <w:pageBreakBefore w:val="0"/>
              <w:widowControl w:val="0"/>
              <w:kinsoku/>
              <w:bidi w:val="0"/>
              <w:spacing w:beforeAutospacing="0" w:afterAutospacing="0"/>
              <w:ind w:left="0"/>
            </w:pPr>
            <w:r>
              <w:rPr>
                <w:rFonts w:hint="eastAsia"/>
                <w:lang w:val="en-US" w:eastAsia="zh-CN"/>
              </w:rPr>
              <w:t>2</w:t>
            </w:r>
            <w:r>
              <w:rPr>
                <w:rFonts w:hint="eastAsia"/>
              </w:rPr>
              <w:t>0</w:t>
            </w:r>
          </w:p>
        </w:tc>
        <w:tc>
          <w:tcPr>
            <w:tcW w:w="495" w:type="pct"/>
            <w:vMerge w:val="continue"/>
            <w:vAlign w:val="center"/>
          </w:tcPr>
          <w:p w14:paraId="5A17B8D7">
            <w:pPr>
              <w:pStyle w:val="68"/>
              <w:pageBreakBefore w:val="0"/>
              <w:widowControl w:val="0"/>
              <w:kinsoku/>
              <w:bidi w:val="0"/>
              <w:spacing w:beforeAutospacing="0" w:afterAutospacing="0"/>
              <w:ind w:left="0"/>
            </w:pPr>
          </w:p>
        </w:tc>
        <w:tc>
          <w:tcPr>
            <w:tcW w:w="710" w:type="pct"/>
            <w:vAlign w:val="center"/>
          </w:tcPr>
          <w:p w14:paraId="5AD0CABC">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0.503</w:t>
            </w:r>
          </w:p>
        </w:tc>
        <w:tc>
          <w:tcPr>
            <w:tcW w:w="602" w:type="pct"/>
            <w:vAlign w:val="center"/>
          </w:tcPr>
          <w:p w14:paraId="0094FDC5">
            <w:pPr>
              <w:pStyle w:val="68"/>
              <w:pageBreakBefore w:val="0"/>
              <w:widowControl w:val="0"/>
              <w:kinsoku/>
              <w:bidi w:val="0"/>
              <w:spacing w:beforeAutospacing="0" w:afterAutospacing="0"/>
              <w:ind w:left="0"/>
            </w:pPr>
            <w:r>
              <w:rPr>
                <w:rFonts w:hint="eastAsia"/>
                <w:lang w:val="en-US" w:eastAsia="zh-CN"/>
              </w:rPr>
              <w:t>22.6</w:t>
            </w:r>
            <w:r>
              <w:rPr>
                <w:rFonts w:hint="eastAsia"/>
              </w:rPr>
              <w:t>5</w:t>
            </w:r>
          </w:p>
        </w:tc>
        <w:tc>
          <w:tcPr>
            <w:tcW w:w="555" w:type="pct"/>
            <w:vAlign w:val="center"/>
          </w:tcPr>
          <w:p w14:paraId="6927B8E6">
            <w:pPr>
              <w:pStyle w:val="68"/>
              <w:pageBreakBefore w:val="0"/>
              <w:widowControl w:val="0"/>
              <w:kinsoku/>
              <w:bidi w:val="0"/>
              <w:spacing w:beforeAutospacing="0" w:afterAutospacing="0"/>
              <w:ind w:left="0"/>
              <w:rPr>
                <w:rFonts w:hint="eastAsia" w:eastAsiaTheme="minorEastAsia"/>
                <w:lang w:val="en-US" w:eastAsia="zh-CN"/>
              </w:rPr>
            </w:pPr>
            <w:r>
              <w:rPr>
                <w:rFonts w:hint="eastAsia"/>
                <w:lang w:val="en-US" w:eastAsia="zh-CN"/>
              </w:rPr>
              <w:t>2</w:t>
            </w:r>
            <w:r>
              <w:rPr>
                <w:rFonts w:hint="eastAsia"/>
              </w:rPr>
              <w:t>.9</w:t>
            </w:r>
            <w:r>
              <w:rPr>
                <w:rFonts w:hint="eastAsia"/>
                <w:lang w:val="en-US" w:eastAsia="zh-CN"/>
              </w:rPr>
              <w:t>7</w:t>
            </w:r>
          </w:p>
        </w:tc>
        <w:tc>
          <w:tcPr>
            <w:tcW w:w="600" w:type="pct"/>
            <w:vAlign w:val="center"/>
          </w:tcPr>
          <w:p w14:paraId="32BEE8C1">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4.95</w:t>
            </w:r>
          </w:p>
        </w:tc>
        <w:tc>
          <w:tcPr>
            <w:tcW w:w="515" w:type="pct"/>
            <w:vAlign w:val="center"/>
          </w:tcPr>
          <w:p w14:paraId="5F0FE022">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2.70</w:t>
            </w:r>
          </w:p>
        </w:tc>
      </w:tr>
      <w:tr w14:paraId="3F8A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Align w:val="center"/>
          </w:tcPr>
          <w:p w14:paraId="5D2DD10B">
            <w:pPr>
              <w:pStyle w:val="68"/>
              <w:pageBreakBefore w:val="0"/>
              <w:widowControl w:val="0"/>
              <w:kinsoku/>
              <w:bidi w:val="0"/>
              <w:spacing w:beforeAutospacing="0" w:afterAutospacing="0"/>
              <w:ind w:left="0"/>
            </w:pPr>
            <w:r>
              <w:rPr>
                <w:rFonts w:hint="eastAsia"/>
              </w:rPr>
              <w:t>3</w:t>
            </w:r>
          </w:p>
        </w:tc>
        <w:tc>
          <w:tcPr>
            <w:tcW w:w="600" w:type="pct"/>
            <w:vAlign w:val="center"/>
          </w:tcPr>
          <w:p w14:paraId="104F33E4">
            <w:pPr>
              <w:pStyle w:val="68"/>
              <w:pageBreakBefore w:val="0"/>
              <w:widowControl w:val="0"/>
              <w:kinsoku/>
              <w:bidi w:val="0"/>
              <w:spacing w:beforeAutospacing="0" w:afterAutospacing="0"/>
              <w:ind w:left="0"/>
            </w:pPr>
            <w:r>
              <w:rPr>
                <w:rFonts w:hint="eastAsia"/>
              </w:rPr>
              <w:t>鸭</w:t>
            </w:r>
          </w:p>
        </w:tc>
        <w:tc>
          <w:tcPr>
            <w:tcW w:w="540" w:type="pct"/>
            <w:vAlign w:val="center"/>
          </w:tcPr>
          <w:p w14:paraId="615E9DEF">
            <w:pPr>
              <w:pStyle w:val="68"/>
              <w:pageBreakBefore w:val="0"/>
              <w:widowControl w:val="0"/>
              <w:kinsoku/>
              <w:bidi w:val="0"/>
              <w:spacing w:beforeAutospacing="0" w:afterAutospacing="0"/>
              <w:ind w:left="0"/>
            </w:pPr>
            <w:r>
              <w:rPr>
                <w:rFonts w:hint="eastAsia"/>
                <w:lang w:val="en-US" w:eastAsia="zh-CN"/>
              </w:rPr>
              <w:t>1</w:t>
            </w:r>
            <w:r>
              <w:rPr>
                <w:rFonts w:hint="eastAsia"/>
              </w:rPr>
              <w:t>0</w:t>
            </w:r>
          </w:p>
        </w:tc>
        <w:tc>
          <w:tcPr>
            <w:tcW w:w="495" w:type="pct"/>
            <w:vMerge w:val="continue"/>
            <w:vAlign w:val="center"/>
          </w:tcPr>
          <w:p w14:paraId="609E391F">
            <w:pPr>
              <w:pStyle w:val="68"/>
              <w:pageBreakBefore w:val="0"/>
              <w:widowControl w:val="0"/>
              <w:kinsoku/>
              <w:bidi w:val="0"/>
              <w:spacing w:beforeAutospacing="0" w:afterAutospacing="0"/>
              <w:ind w:left="0"/>
            </w:pPr>
          </w:p>
        </w:tc>
        <w:tc>
          <w:tcPr>
            <w:tcW w:w="710" w:type="pct"/>
            <w:vAlign w:val="center"/>
          </w:tcPr>
          <w:p w14:paraId="047B21EE">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0.27</w:t>
            </w:r>
          </w:p>
        </w:tc>
        <w:tc>
          <w:tcPr>
            <w:tcW w:w="602" w:type="pct"/>
            <w:vAlign w:val="center"/>
          </w:tcPr>
          <w:p w14:paraId="700C1EDF">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12.62</w:t>
            </w:r>
          </w:p>
        </w:tc>
        <w:tc>
          <w:tcPr>
            <w:tcW w:w="555" w:type="pct"/>
            <w:vAlign w:val="center"/>
          </w:tcPr>
          <w:p w14:paraId="75E48C80">
            <w:pPr>
              <w:pStyle w:val="68"/>
              <w:pageBreakBefore w:val="0"/>
              <w:widowControl w:val="0"/>
              <w:kinsoku/>
              <w:bidi w:val="0"/>
              <w:spacing w:beforeAutospacing="0" w:afterAutospacing="0"/>
              <w:ind w:left="0"/>
            </w:pPr>
            <w:r>
              <w:rPr>
                <w:rFonts w:hint="eastAsia"/>
                <w:lang w:val="en-US" w:eastAsia="zh-CN"/>
              </w:rPr>
              <w:t>1.</w:t>
            </w:r>
            <w:r>
              <w:rPr>
                <w:rFonts w:hint="eastAsia"/>
              </w:rPr>
              <w:t>79</w:t>
            </w:r>
          </w:p>
        </w:tc>
        <w:tc>
          <w:tcPr>
            <w:tcW w:w="600" w:type="pct"/>
            <w:vAlign w:val="center"/>
          </w:tcPr>
          <w:p w14:paraId="33EF4F5D">
            <w:pPr>
              <w:pStyle w:val="68"/>
              <w:pageBreakBefore w:val="0"/>
              <w:widowControl w:val="0"/>
              <w:kinsoku/>
              <w:bidi w:val="0"/>
              <w:spacing w:beforeAutospacing="0" w:afterAutospacing="0"/>
              <w:ind w:left="0"/>
              <w:rPr>
                <w:rFonts w:hint="eastAsia" w:eastAsiaTheme="minorEastAsia"/>
                <w:lang w:val="en-US" w:eastAsia="zh-CN"/>
              </w:rPr>
            </w:pPr>
            <w:r>
              <w:rPr>
                <w:rFonts w:hint="eastAsia"/>
                <w:lang w:val="en-US" w:eastAsia="zh-CN"/>
              </w:rPr>
              <w:t>2</w:t>
            </w:r>
            <w:r>
              <w:rPr>
                <w:rFonts w:hint="eastAsia"/>
              </w:rPr>
              <w:t>.99</w:t>
            </w:r>
            <w:r>
              <w:rPr>
                <w:rFonts w:hint="eastAsia"/>
                <w:lang w:val="en-US" w:eastAsia="zh-CN"/>
              </w:rPr>
              <w:t>8</w:t>
            </w:r>
          </w:p>
        </w:tc>
        <w:tc>
          <w:tcPr>
            <w:tcW w:w="515" w:type="pct"/>
            <w:vAlign w:val="center"/>
          </w:tcPr>
          <w:p w14:paraId="6AE07C15">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1.46</w:t>
            </w:r>
          </w:p>
        </w:tc>
      </w:tr>
      <w:tr w14:paraId="0320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Align w:val="center"/>
          </w:tcPr>
          <w:p w14:paraId="356BB733">
            <w:pPr>
              <w:pStyle w:val="68"/>
              <w:pageBreakBefore w:val="0"/>
              <w:widowControl w:val="0"/>
              <w:kinsoku/>
              <w:bidi w:val="0"/>
              <w:spacing w:beforeAutospacing="0" w:afterAutospacing="0"/>
              <w:ind w:left="0"/>
              <w:rPr>
                <w:rFonts w:hint="eastAsia" w:eastAsiaTheme="minorEastAsia"/>
                <w:lang w:val="en-US" w:eastAsia="zh-CN"/>
              </w:rPr>
            </w:pPr>
            <w:r>
              <w:rPr>
                <w:rFonts w:hint="eastAsia"/>
                <w:lang w:val="en-US" w:eastAsia="zh-CN"/>
              </w:rPr>
              <w:t>4</w:t>
            </w:r>
          </w:p>
        </w:tc>
        <w:tc>
          <w:tcPr>
            <w:tcW w:w="600" w:type="pct"/>
            <w:vAlign w:val="center"/>
          </w:tcPr>
          <w:p w14:paraId="241EA3AD">
            <w:pPr>
              <w:pStyle w:val="68"/>
              <w:pageBreakBefore w:val="0"/>
              <w:widowControl w:val="0"/>
              <w:kinsoku/>
              <w:bidi w:val="0"/>
              <w:spacing w:beforeAutospacing="0" w:afterAutospacing="0"/>
              <w:ind w:left="0"/>
              <w:rPr>
                <w:rFonts w:hint="eastAsia"/>
              </w:rPr>
            </w:pPr>
            <w:r>
              <w:rPr>
                <w:rFonts w:hint="eastAsia"/>
              </w:rPr>
              <w:t>猪</w:t>
            </w:r>
          </w:p>
        </w:tc>
        <w:tc>
          <w:tcPr>
            <w:tcW w:w="540" w:type="pct"/>
            <w:vAlign w:val="center"/>
          </w:tcPr>
          <w:p w14:paraId="6D6ACBD6">
            <w:pPr>
              <w:pStyle w:val="68"/>
              <w:pageBreakBefore w:val="0"/>
              <w:widowControl w:val="0"/>
              <w:kinsoku/>
              <w:bidi w:val="0"/>
              <w:spacing w:beforeAutospacing="0" w:afterAutospacing="0"/>
              <w:ind w:left="0"/>
              <w:rPr>
                <w:rFonts w:hint="default"/>
                <w:lang w:val="en-US" w:eastAsia="zh-CN"/>
              </w:rPr>
            </w:pPr>
            <w:r>
              <w:rPr>
                <w:rFonts w:hint="eastAsia"/>
                <w:lang w:val="en-US" w:eastAsia="zh-CN"/>
              </w:rPr>
              <w:t>3</w:t>
            </w:r>
          </w:p>
        </w:tc>
        <w:tc>
          <w:tcPr>
            <w:tcW w:w="495" w:type="pct"/>
            <w:vAlign w:val="center"/>
          </w:tcPr>
          <w:p w14:paraId="2BC30D61">
            <w:pPr>
              <w:pStyle w:val="68"/>
              <w:pageBreakBefore w:val="0"/>
              <w:widowControl w:val="0"/>
              <w:kinsoku/>
              <w:bidi w:val="0"/>
              <w:spacing w:beforeAutospacing="0" w:afterAutospacing="0"/>
              <w:ind w:left="0"/>
            </w:pPr>
            <w:r>
              <w:t>尿</w:t>
            </w:r>
          </w:p>
        </w:tc>
        <w:tc>
          <w:tcPr>
            <w:tcW w:w="710" w:type="pct"/>
            <w:vAlign w:val="center"/>
          </w:tcPr>
          <w:p w14:paraId="02A302C5">
            <w:pPr>
              <w:pStyle w:val="68"/>
              <w:pageBreakBefore w:val="0"/>
              <w:widowControl w:val="0"/>
              <w:kinsoku/>
              <w:bidi w:val="0"/>
              <w:spacing w:beforeAutospacing="0" w:afterAutospacing="0"/>
              <w:ind w:left="0"/>
              <w:rPr>
                <w:rFonts w:hint="default"/>
                <w:lang w:val="en-US" w:eastAsia="zh-CN"/>
              </w:rPr>
            </w:pPr>
            <w:r>
              <w:rPr>
                <w:rFonts w:hint="eastAsia"/>
                <w:lang w:val="en-US" w:eastAsia="zh-CN"/>
              </w:rPr>
              <w:t>1.971</w:t>
            </w:r>
          </w:p>
        </w:tc>
        <w:tc>
          <w:tcPr>
            <w:tcW w:w="602" w:type="pct"/>
            <w:vAlign w:val="center"/>
          </w:tcPr>
          <w:p w14:paraId="5219E544">
            <w:pPr>
              <w:pStyle w:val="68"/>
              <w:pageBreakBefore w:val="0"/>
              <w:widowControl w:val="0"/>
              <w:kinsoku/>
              <w:bidi w:val="0"/>
              <w:spacing w:beforeAutospacing="0" w:afterAutospacing="0"/>
              <w:ind w:left="0"/>
              <w:rPr>
                <w:rFonts w:hint="default"/>
                <w:lang w:val="en-US" w:eastAsia="zh-CN"/>
              </w:rPr>
            </w:pPr>
            <w:r>
              <w:rPr>
                <w:rFonts w:hint="eastAsia"/>
                <w:lang w:val="en-US" w:eastAsia="zh-CN"/>
              </w:rPr>
              <w:t>17.739</w:t>
            </w:r>
          </w:p>
        </w:tc>
        <w:tc>
          <w:tcPr>
            <w:tcW w:w="555" w:type="pct"/>
            <w:vAlign w:val="center"/>
          </w:tcPr>
          <w:p w14:paraId="6654904F">
            <w:pPr>
              <w:pStyle w:val="68"/>
              <w:pageBreakBefore w:val="0"/>
              <w:widowControl w:val="0"/>
              <w:kinsoku/>
              <w:bidi w:val="0"/>
              <w:spacing w:beforeAutospacing="0" w:afterAutospacing="0"/>
              <w:ind w:left="0"/>
              <w:rPr>
                <w:rFonts w:hint="default"/>
                <w:lang w:val="en-US" w:eastAsia="zh-CN"/>
              </w:rPr>
            </w:pPr>
            <w:r>
              <w:rPr>
                <w:rFonts w:hint="eastAsia"/>
                <w:lang w:val="en-US" w:eastAsia="zh-CN"/>
              </w:rPr>
              <w:t>2.76</w:t>
            </w:r>
          </w:p>
        </w:tc>
        <w:tc>
          <w:tcPr>
            <w:tcW w:w="600" w:type="pct"/>
            <w:vAlign w:val="center"/>
          </w:tcPr>
          <w:p w14:paraId="322D82E2">
            <w:pPr>
              <w:pStyle w:val="68"/>
              <w:pageBreakBefore w:val="0"/>
              <w:widowControl w:val="0"/>
              <w:kinsoku/>
              <w:bidi w:val="0"/>
              <w:spacing w:beforeAutospacing="0" w:afterAutospacing="0"/>
              <w:ind w:left="0"/>
              <w:rPr>
                <w:rFonts w:hint="default"/>
                <w:lang w:val="en-US" w:eastAsia="zh-CN"/>
              </w:rPr>
            </w:pPr>
            <w:r>
              <w:rPr>
                <w:rFonts w:hint="eastAsia"/>
                <w:lang w:val="en-US" w:eastAsia="zh-CN"/>
              </w:rPr>
              <w:t>6.504</w:t>
            </w:r>
          </w:p>
        </w:tc>
        <w:tc>
          <w:tcPr>
            <w:tcW w:w="515" w:type="pct"/>
            <w:vAlign w:val="center"/>
          </w:tcPr>
          <w:p w14:paraId="59D02F43">
            <w:pPr>
              <w:pStyle w:val="68"/>
              <w:pageBreakBefore w:val="0"/>
              <w:widowControl w:val="0"/>
              <w:kinsoku/>
              <w:bidi w:val="0"/>
              <w:spacing w:beforeAutospacing="0" w:afterAutospacing="0"/>
              <w:ind w:left="0"/>
              <w:rPr>
                <w:rFonts w:hint="default"/>
                <w:lang w:val="en-US" w:eastAsia="zh-CN"/>
              </w:rPr>
            </w:pPr>
            <w:r>
              <w:rPr>
                <w:rFonts w:hint="eastAsia"/>
                <w:lang w:val="en-US" w:eastAsia="zh-CN"/>
              </w:rPr>
              <w:t>0.987</w:t>
            </w:r>
          </w:p>
        </w:tc>
      </w:tr>
      <w:tr w14:paraId="5FDC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5" w:type="pct"/>
            <w:gridSpan w:val="4"/>
            <w:vAlign w:val="center"/>
          </w:tcPr>
          <w:p w14:paraId="68C198D1">
            <w:pPr>
              <w:pStyle w:val="68"/>
              <w:pageBreakBefore w:val="0"/>
              <w:widowControl w:val="0"/>
              <w:kinsoku/>
              <w:bidi w:val="0"/>
              <w:spacing w:beforeAutospacing="0" w:afterAutospacing="0"/>
              <w:ind w:left="0"/>
            </w:pPr>
            <w:r>
              <w:rPr>
                <w:rFonts w:hint="eastAsia"/>
              </w:rPr>
              <w:t>合计</w:t>
            </w:r>
          </w:p>
        </w:tc>
        <w:tc>
          <w:tcPr>
            <w:tcW w:w="710" w:type="pct"/>
            <w:vAlign w:val="center"/>
          </w:tcPr>
          <w:p w14:paraId="216586A9">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3.938</w:t>
            </w:r>
          </w:p>
        </w:tc>
        <w:tc>
          <w:tcPr>
            <w:tcW w:w="602" w:type="pct"/>
            <w:vAlign w:val="center"/>
          </w:tcPr>
          <w:p w14:paraId="7A53D2ED">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115.097</w:t>
            </w:r>
          </w:p>
        </w:tc>
        <w:tc>
          <w:tcPr>
            <w:tcW w:w="555" w:type="pct"/>
            <w:vAlign w:val="center"/>
          </w:tcPr>
          <w:p w14:paraId="5C4491CA">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11.222</w:t>
            </w:r>
          </w:p>
        </w:tc>
        <w:tc>
          <w:tcPr>
            <w:tcW w:w="600" w:type="pct"/>
            <w:vAlign w:val="center"/>
          </w:tcPr>
          <w:p w14:paraId="1CE6D322">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21.496</w:t>
            </w:r>
          </w:p>
        </w:tc>
        <w:tc>
          <w:tcPr>
            <w:tcW w:w="515" w:type="pct"/>
            <w:vAlign w:val="center"/>
          </w:tcPr>
          <w:p w14:paraId="6553761F">
            <w:pPr>
              <w:pStyle w:val="68"/>
              <w:pageBreakBefore w:val="0"/>
              <w:widowControl w:val="0"/>
              <w:kinsoku/>
              <w:bidi w:val="0"/>
              <w:spacing w:beforeAutospacing="0" w:afterAutospacing="0"/>
              <w:ind w:left="0"/>
              <w:rPr>
                <w:rFonts w:hint="eastAsia" w:eastAsiaTheme="minorEastAsia"/>
                <w:lang w:eastAsia="zh-CN"/>
              </w:rPr>
            </w:pPr>
            <w:r>
              <w:t>1</w:t>
            </w:r>
            <w:r>
              <w:rPr>
                <w:rFonts w:hint="eastAsia"/>
                <w:lang w:val="en-US" w:eastAsia="zh-CN"/>
              </w:rPr>
              <w:t>5.554</w:t>
            </w:r>
          </w:p>
        </w:tc>
      </w:tr>
    </w:tbl>
    <w:p w14:paraId="7F3E5F39">
      <w:pPr>
        <w:pageBreakBefore w:val="0"/>
        <w:widowControl w:val="0"/>
        <w:kinsoku/>
        <w:bidi w:val="0"/>
        <w:spacing w:beforeAutospacing="0" w:afterAutospacing="0"/>
        <w:ind w:left="0" w:firstLine="480"/>
        <w:rPr>
          <w:rFonts w:ascii="Times New Roman"/>
        </w:rPr>
      </w:pPr>
      <w:r>
        <w:rPr>
          <w:rFonts w:ascii="Times New Roman"/>
        </w:rPr>
        <w:t>本次畜禽散养污染物入河系数参照三峡库区禽畜粪便污染物负荷流失率：COD 12.3%、总氮 2.86%、氨氮 2.86%、总磷 2.84%。流域畜禽散养现状污染</w:t>
      </w:r>
      <w:r>
        <w:t>负荷见</w:t>
      </w:r>
      <w:r>
        <w:fldChar w:fldCharType="begin"/>
      </w:r>
      <w:r>
        <w:instrText xml:space="preserve"> REF _Ref43970175 \h  \* MERGEFORMAT </w:instrText>
      </w:r>
      <w:r>
        <w:fldChar w:fldCharType="separate"/>
      </w:r>
      <w:r>
        <w:rPr>
          <w:rFonts w:hint="eastAsia"/>
        </w:rPr>
        <w:t>表</w:t>
      </w:r>
      <w:r>
        <w:t>5</w:t>
      </w:r>
      <w:r>
        <w:noBreakHyphen/>
      </w:r>
      <w:r>
        <w:t>7</w:t>
      </w:r>
      <w:r>
        <w:fldChar w:fldCharType="end"/>
      </w:r>
      <w:r>
        <w:rPr>
          <w:rFonts w:ascii="Times New Roman"/>
        </w:rPr>
        <w:t>。</w:t>
      </w:r>
    </w:p>
    <w:p w14:paraId="35AC7727">
      <w:pPr>
        <w:pageBreakBefore w:val="0"/>
        <w:widowControl w:val="0"/>
        <w:kinsoku/>
        <w:bidi w:val="0"/>
        <w:spacing w:beforeAutospacing="0" w:afterAutospacing="0"/>
        <w:ind w:left="0" w:firstLine="0" w:firstLineChars="0"/>
        <w:jc w:val="center"/>
        <w:rPr>
          <w:rFonts w:ascii="Times New Roman" w:eastAsia="黑体"/>
        </w:rPr>
      </w:pPr>
      <w:bookmarkStart w:id="91" w:name="_Ref43970175"/>
      <w:r>
        <w:rPr>
          <w:rFonts w:hint="eastAsia" w:ascii="黑体" w:hAnsi="黑体" w:eastAsia="黑体"/>
          <w:szCs w:val="28"/>
        </w:rPr>
        <w:t xml:space="preserve">表 </w:t>
      </w:r>
      <w:r>
        <w:rPr>
          <w:rFonts w:ascii="黑体" w:hAnsi="黑体" w:eastAsia="黑体"/>
          <w:szCs w:val="28"/>
        </w:rPr>
        <w:fldChar w:fldCharType="begin"/>
      </w:r>
      <w:r>
        <w:rPr>
          <w:rFonts w:hint="eastAsia" w:ascii="黑体" w:hAnsi="黑体" w:eastAsia="黑体"/>
          <w:szCs w:val="28"/>
        </w:rPr>
        <w:instrText xml:space="preserve">STYLEREF 1 \s</w:instrText>
      </w:r>
      <w:r>
        <w:rPr>
          <w:rFonts w:ascii="黑体" w:hAnsi="黑体" w:eastAsia="黑体"/>
          <w:szCs w:val="28"/>
        </w:rPr>
        <w:fldChar w:fldCharType="separate"/>
      </w:r>
      <w:r>
        <w:rPr>
          <w:rFonts w:ascii="黑体" w:hAnsi="黑体" w:eastAsia="黑体"/>
          <w:szCs w:val="28"/>
        </w:rPr>
        <w:t>5</w:t>
      </w:r>
      <w:r>
        <w:rPr>
          <w:rFonts w:ascii="黑体" w:hAnsi="黑体" w:eastAsia="黑体"/>
          <w:szCs w:val="28"/>
        </w:rPr>
        <w:fldChar w:fldCharType="end"/>
      </w:r>
      <w:r>
        <w:rPr>
          <w:rFonts w:ascii="黑体" w:hAnsi="黑体" w:eastAsia="黑体"/>
          <w:szCs w:val="28"/>
        </w:rPr>
        <w:noBreakHyphen/>
      </w:r>
      <w:r>
        <w:rPr>
          <w:rFonts w:ascii="黑体" w:hAnsi="黑体" w:eastAsia="黑体"/>
          <w:szCs w:val="28"/>
        </w:rPr>
        <w:fldChar w:fldCharType="begin"/>
      </w:r>
      <w:r>
        <w:rPr>
          <w:rFonts w:hint="eastAsia" w:ascii="黑体" w:hAnsi="黑体" w:eastAsia="黑体"/>
          <w:szCs w:val="28"/>
        </w:rPr>
        <w:instrText xml:space="preserve">SEQ 表 \* ARABIC \s 1</w:instrText>
      </w:r>
      <w:r>
        <w:rPr>
          <w:rFonts w:ascii="黑体" w:hAnsi="黑体" w:eastAsia="黑体"/>
          <w:szCs w:val="28"/>
        </w:rPr>
        <w:fldChar w:fldCharType="separate"/>
      </w:r>
      <w:r>
        <w:rPr>
          <w:rFonts w:ascii="黑体" w:hAnsi="黑体" w:eastAsia="黑体"/>
          <w:szCs w:val="28"/>
        </w:rPr>
        <w:t>7</w:t>
      </w:r>
      <w:r>
        <w:rPr>
          <w:rFonts w:ascii="黑体" w:hAnsi="黑体" w:eastAsia="黑体"/>
          <w:szCs w:val="28"/>
        </w:rPr>
        <w:fldChar w:fldCharType="end"/>
      </w:r>
      <w:bookmarkEnd w:id="91"/>
      <w:r>
        <w:rPr>
          <w:rFonts w:ascii="Times New Roman" w:eastAsia="黑体"/>
        </w:rPr>
        <w:t>畜禽散养污染负荷</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517"/>
        <w:gridCol w:w="1273"/>
        <w:gridCol w:w="1549"/>
        <w:gridCol w:w="1858"/>
      </w:tblGrid>
      <w:tr w14:paraId="03EE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4" w:type="pct"/>
            <w:shd w:val="clear" w:color="auto" w:fill="auto"/>
            <w:vAlign w:val="center"/>
          </w:tcPr>
          <w:p w14:paraId="79A4AC73">
            <w:pPr>
              <w:pStyle w:val="68"/>
              <w:pageBreakBefore w:val="0"/>
              <w:widowControl w:val="0"/>
              <w:kinsoku/>
              <w:bidi w:val="0"/>
              <w:spacing w:beforeAutospacing="0" w:afterAutospacing="0"/>
              <w:ind w:left="0"/>
              <w:rPr>
                <w:b/>
                <w:bCs/>
              </w:rPr>
            </w:pPr>
            <w:r>
              <w:rPr>
                <w:b/>
                <w:bCs/>
              </w:rPr>
              <w:t>污染物</w:t>
            </w:r>
          </w:p>
        </w:tc>
        <w:tc>
          <w:tcPr>
            <w:tcW w:w="890" w:type="pct"/>
            <w:shd w:val="clear" w:color="auto" w:fill="auto"/>
            <w:vAlign w:val="center"/>
          </w:tcPr>
          <w:p w14:paraId="37BDCE9C">
            <w:pPr>
              <w:pStyle w:val="68"/>
              <w:pageBreakBefore w:val="0"/>
              <w:widowControl w:val="0"/>
              <w:kinsoku/>
              <w:bidi w:val="0"/>
              <w:spacing w:beforeAutospacing="0" w:afterAutospacing="0"/>
              <w:ind w:left="0"/>
              <w:rPr>
                <w:b/>
                <w:bCs/>
              </w:rPr>
            </w:pPr>
            <w:r>
              <w:rPr>
                <w:b/>
                <w:bCs/>
              </w:rPr>
              <w:t>COD</w:t>
            </w:r>
          </w:p>
        </w:tc>
        <w:tc>
          <w:tcPr>
            <w:tcW w:w="747" w:type="pct"/>
            <w:shd w:val="clear" w:color="auto" w:fill="auto"/>
            <w:vAlign w:val="center"/>
          </w:tcPr>
          <w:p w14:paraId="6EC8A4A1">
            <w:pPr>
              <w:pStyle w:val="68"/>
              <w:pageBreakBefore w:val="0"/>
              <w:widowControl w:val="0"/>
              <w:kinsoku/>
              <w:bidi w:val="0"/>
              <w:spacing w:beforeAutospacing="0" w:afterAutospacing="0"/>
              <w:ind w:left="0"/>
              <w:rPr>
                <w:b/>
                <w:bCs/>
              </w:rPr>
            </w:pPr>
            <w:r>
              <w:rPr>
                <w:b/>
                <w:bCs/>
              </w:rPr>
              <w:t>NH</w:t>
            </w:r>
            <w:r>
              <w:rPr>
                <w:b/>
                <w:bCs/>
                <w:vertAlign w:val="subscript"/>
              </w:rPr>
              <w:t>3</w:t>
            </w:r>
            <w:r>
              <w:rPr>
                <w:b/>
                <w:bCs/>
              </w:rPr>
              <w:t>-N</w:t>
            </w:r>
          </w:p>
        </w:tc>
        <w:tc>
          <w:tcPr>
            <w:tcW w:w="909" w:type="pct"/>
            <w:shd w:val="clear" w:color="auto" w:fill="auto"/>
            <w:vAlign w:val="center"/>
          </w:tcPr>
          <w:p w14:paraId="095ABF72">
            <w:pPr>
              <w:pStyle w:val="68"/>
              <w:pageBreakBefore w:val="0"/>
              <w:widowControl w:val="0"/>
              <w:kinsoku/>
              <w:bidi w:val="0"/>
              <w:spacing w:beforeAutospacing="0" w:afterAutospacing="0"/>
              <w:ind w:left="0"/>
              <w:rPr>
                <w:b/>
                <w:bCs/>
              </w:rPr>
            </w:pPr>
            <w:r>
              <w:rPr>
                <w:b/>
                <w:bCs/>
              </w:rPr>
              <w:t>TN</w:t>
            </w:r>
          </w:p>
        </w:tc>
        <w:tc>
          <w:tcPr>
            <w:tcW w:w="1090" w:type="pct"/>
            <w:shd w:val="clear" w:color="auto" w:fill="auto"/>
            <w:vAlign w:val="center"/>
          </w:tcPr>
          <w:p w14:paraId="63209F7F">
            <w:pPr>
              <w:pStyle w:val="68"/>
              <w:pageBreakBefore w:val="0"/>
              <w:widowControl w:val="0"/>
              <w:kinsoku/>
              <w:bidi w:val="0"/>
              <w:spacing w:beforeAutospacing="0" w:afterAutospacing="0"/>
              <w:ind w:left="0"/>
              <w:rPr>
                <w:b/>
                <w:bCs/>
              </w:rPr>
            </w:pPr>
            <w:r>
              <w:rPr>
                <w:b/>
                <w:bCs/>
              </w:rPr>
              <w:t>TP</w:t>
            </w:r>
          </w:p>
        </w:tc>
      </w:tr>
      <w:tr w14:paraId="4A2F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4" w:type="pct"/>
            <w:shd w:val="clear" w:color="auto" w:fill="auto"/>
            <w:vAlign w:val="center"/>
          </w:tcPr>
          <w:p w14:paraId="55816C12">
            <w:pPr>
              <w:pStyle w:val="68"/>
              <w:pageBreakBefore w:val="0"/>
              <w:widowControl w:val="0"/>
              <w:kinsoku/>
              <w:bidi w:val="0"/>
              <w:spacing w:beforeAutospacing="0" w:afterAutospacing="0"/>
              <w:ind w:left="0"/>
            </w:pPr>
            <w:r>
              <w:t>流失率</w:t>
            </w:r>
          </w:p>
        </w:tc>
        <w:tc>
          <w:tcPr>
            <w:tcW w:w="890" w:type="pct"/>
            <w:shd w:val="clear" w:color="auto" w:fill="auto"/>
            <w:vAlign w:val="center"/>
          </w:tcPr>
          <w:p w14:paraId="4A8D3539">
            <w:pPr>
              <w:pStyle w:val="68"/>
              <w:pageBreakBefore w:val="0"/>
              <w:widowControl w:val="0"/>
              <w:kinsoku/>
              <w:bidi w:val="0"/>
              <w:spacing w:beforeAutospacing="0" w:afterAutospacing="0"/>
              <w:ind w:left="0"/>
            </w:pPr>
            <w:r>
              <w:t>12.3%</w:t>
            </w:r>
          </w:p>
        </w:tc>
        <w:tc>
          <w:tcPr>
            <w:tcW w:w="747" w:type="pct"/>
            <w:shd w:val="clear" w:color="auto" w:fill="auto"/>
            <w:vAlign w:val="center"/>
          </w:tcPr>
          <w:p w14:paraId="185AB615">
            <w:pPr>
              <w:pStyle w:val="68"/>
              <w:pageBreakBefore w:val="0"/>
              <w:widowControl w:val="0"/>
              <w:kinsoku/>
              <w:bidi w:val="0"/>
              <w:spacing w:beforeAutospacing="0" w:afterAutospacing="0"/>
              <w:ind w:left="0"/>
            </w:pPr>
            <w:r>
              <w:t>2.86%</w:t>
            </w:r>
          </w:p>
        </w:tc>
        <w:tc>
          <w:tcPr>
            <w:tcW w:w="909" w:type="pct"/>
            <w:shd w:val="clear" w:color="auto" w:fill="auto"/>
            <w:vAlign w:val="center"/>
          </w:tcPr>
          <w:p w14:paraId="0FB374F4">
            <w:pPr>
              <w:pStyle w:val="68"/>
              <w:pageBreakBefore w:val="0"/>
              <w:widowControl w:val="0"/>
              <w:kinsoku/>
              <w:bidi w:val="0"/>
              <w:spacing w:beforeAutospacing="0" w:afterAutospacing="0"/>
              <w:ind w:left="0"/>
            </w:pPr>
            <w:r>
              <w:t>2.86%</w:t>
            </w:r>
          </w:p>
        </w:tc>
        <w:tc>
          <w:tcPr>
            <w:tcW w:w="1090" w:type="pct"/>
            <w:shd w:val="clear" w:color="auto" w:fill="auto"/>
            <w:vAlign w:val="center"/>
          </w:tcPr>
          <w:p w14:paraId="2B13A362">
            <w:pPr>
              <w:pStyle w:val="68"/>
              <w:pageBreakBefore w:val="0"/>
              <w:widowControl w:val="0"/>
              <w:kinsoku/>
              <w:bidi w:val="0"/>
              <w:spacing w:beforeAutospacing="0" w:afterAutospacing="0"/>
              <w:ind w:left="0"/>
            </w:pPr>
            <w:r>
              <w:t>2.84%</w:t>
            </w:r>
          </w:p>
        </w:tc>
      </w:tr>
      <w:tr w14:paraId="0204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4" w:type="pct"/>
            <w:shd w:val="clear" w:color="auto" w:fill="auto"/>
            <w:vAlign w:val="center"/>
          </w:tcPr>
          <w:p w14:paraId="6D5182FC">
            <w:pPr>
              <w:pStyle w:val="68"/>
              <w:pageBreakBefore w:val="0"/>
              <w:widowControl w:val="0"/>
              <w:kinsoku/>
              <w:bidi w:val="0"/>
              <w:spacing w:beforeAutospacing="0" w:afterAutospacing="0"/>
              <w:ind w:left="0"/>
            </w:pPr>
            <w:r>
              <w:t>年负荷（kg/a）</w:t>
            </w:r>
          </w:p>
        </w:tc>
        <w:tc>
          <w:tcPr>
            <w:tcW w:w="890" w:type="pct"/>
            <w:shd w:val="clear" w:color="auto" w:fill="auto"/>
            <w:vAlign w:val="center"/>
          </w:tcPr>
          <w:p w14:paraId="2B26BAEF">
            <w:pPr>
              <w:pStyle w:val="68"/>
              <w:pageBreakBefore w:val="0"/>
              <w:widowControl w:val="0"/>
              <w:kinsoku/>
              <w:bidi w:val="0"/>
              <w:spacing w:beforeAutospacing="0" w:afterAutospacing="0"/>
              <w:ind w:left="0"/>
              <w:rPr>
                <w:rFonts w:hint="default" w:eastAsiaTheme="minorEastAsia"/>
                <w:lang w:val="en-US" w:eastAsia="zh-CN"/>
              </w:rPr>
            </w:pPr>
            <w:r>
              <w:rPr>
                <w:rFonts w:hint="eastAsia"/>
              </w:rPr>
              <w:t>1</w:t>
            </w:r>
            <w:r>
              <w:rPr>
                <w:rFonts w:hint="eastAsia"/>
                <w:lang w:val="en-US" w:eastAsia="zh-CN"/>
              </w:rPr>
              <w:t>4.157</w:t>
            </w:r>
          </w:p>
        </w:tc>
        <w:tc>
          <w:tcPr>
            <w:tcW w:w="747" w:type="pct"/>
            <w:shd w:val="clear" w:color="auto" w:fill="auto"/>
            <w:vAlign w:val="center"/>
          </w:tcPr>
          <w:p w14:paraId="093B3CF2">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0.321</w:t>
            </w:r>
          </w:p>
        </w:tc>
        <w:tc>
          <w:tcPr>
            <w:tcW w:w="909" w:type="pct"/>
            <w:shd w:val="clear" w:color="auto" w:fill="auto"/>
            <w:vAlign w:val="center"/>
          </w:tcPr>
          <w:p w14:paraId="3347B676">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0.615</w:t>
            </w:r>
          </w:p>
        </w:tc>
        <w:tc>
          <w:tcPr>
            <w:tcW w:w="1090" w:type="pct"/>
            <w:shd w:val="clear" w:color="auto" w:fill="auto"/>
            <w:vAlign w:val="center"/>
          </w:tcPr>
          <w:p w14:paraId="75ECD70F">
            <w:pPr>
              <w:pStyle w:val="68"/>
              <w:pageBreakBefore w:val="0"/>
              <w:widowControl w:val="0"/>
              <w:kinsoku/>
              <w:bidi w:val="0"/>
              <w:spacing w:beforeAutospacing="0" w:afterAutospacing="0"/>
              <w:ind w:left="0"/>
              <w:rPr>
                <w:rFonts w:hint="default" w:eastAsiaTheme="minorEastAsia"/>
                <w:lang w:val="en-US" w:eastAsia="zh-CN"/>
              </w:rPr>
            </w:pPr>
            <w:r>
              <w:rPr>
                <w:rFonts w:hint="eastAsia"/>
                <w:lang w:val="en-US" w:eastAsia="zh-CN"/>
              </w:rPr>
              <w:t>0.442</w:t>
            </w:r>
          </w:p>
        </w:tc>
      </w:tr>
    </w:tbl>
    <w:p w14:paraId="6D743CD4">
      <w:pPr>
        <w:pStyle w:val="11"/>
        <w:pageBreakBefore w:val="0"/>
        <w:widowControl w:val="0"/>
        <w:kinsoku/>
        <w:bidi w:val="0"/>
        <w:spacing w:before="0" w:beforeAutospacing="0" w:after="0" w:afterAutospacing="0"/>
        <w:ind w:left="0"/>
      </w:pPr>
      <w:bookmarkStart w:id="92" w:name="_Toc41765791"/>
      <w:bookmarkStart w:id="93" w:name="_Toc43925474"/>
      <w:bookmarkStart w:id="94" w:name="_Toc1564"/>
      <w:r>
        <w:t>水环境问题及成因分析</w:t>
      </w:r>
      <w:bookmarkEnd w:id="92"/>
      <w:bookmarkEnd w:id="93"/>
      <w:bookmarkEnd w:id="94"/>
    </w:p>
    <w:p w14:paraId="602B6B74">
      <w:pPr>
        <w:pageBreakBefore w:val="0"/>
        <w:widowControl w:val="0"/>
        <w:kinsoku/>
        <w:bidi w:val="0"/>
        <w:spacing w:beforeAutospacing="0" w:afterAutospacing="0"/>
        <w:ind w:left="0" w:firstLine="482"/>
        <w:rPr>
          <w:rFonts w:ascii="Times New Roman"/>
        </w:rPr>
      </w:pPr>
      <w:r>
        <w:rPr>
          <w:rFonts w:ascii="Times New Roman"/>
          <w:b/>
          <w:szCs w:val="32"/>
        </w:rPr>
        <w:t>1、缺水性污染是</w:t>
      </w:r>
      <w:r>
        <w:rPr>
          <w:rFonts w:hint="eastAsia" w:ascii="Times New Roman"/>
          <w:b/>
          <w:szCs w:val="32"/>
          <w:lang w:val="en-US" w:eastAsia="zh-CN"/>
        </w:rPr>
        <w:t>饮用水源地</w:t>
      </w:r>
      <w:r>
        <w:rPr>
          <w:rFonts w:ascii="Times New Roman"/>
          <w:b/>
          <w:szCs w:val="32"/>
        </w:rPr>
        <w:t>水质超标的客观原因。</w:t>
      </w:r>
      <w:r>
        <w:rPr>
          <w:rFonts w:hint="eastAsia" w:ascii="Times New Roman"/>
          <w:szCs w:val="32"/>
          <w:lang w:eastAsia="zh-CN"/>
        </w:rPr>
        <w:t>黄石镇铁炉沟集中式饮用水水源地</w:t>
      </w:r>
      <w:r>
        <w:rPr>
          <w:rFonts w:ascii="Times New Roman"/>
          <w:szCs w:val="32"/>
        </w:rPr>
        <w:t>补水主要依靠</w:t>
      </w:r>
      <w:r>
        <w:rPr>
          <w:rFonts w:hint="eastAsia" w:ascii="Times New Roman"/>
          <w:szCs w:val="32"/>
        </w:rPr>
        <w:t>附近区域的雨水</w:t>
      </w:r>
      <w:r>
        <w:rPr>
          <w:rFonts w:ascii="Times New Roman"/>
          <w:szCs w:val="32"/>
        </w:rPr>
        <w:t>，但是</w:t>
      </w:r>
      <w:r>
        <w:rPr>
          <w:rFonts w:hint="eastAsia" w:ascii="Times New Roman"/>
          <w:szCs w:val="32"/>
          <w:lang w:val="en-US" w:eastAsia="zh-CN"/>
        </w:rPr>
        <w:t>2022年</w:t>
      </w:r>
      <w:r>
        <w:rPr>
          <w:rFonts w:ascii="Times New Roman"/>
          <w:szCs w:val="32"/>
        </w:rPr>
        <w:t>降雨量减少使得蓄水较慢，导致储水量降低，</w:t>
      </w:r>
      <w:r>
        <w:rPr>
          <w:rFonts w:hint="eastAsia" w:ascii="Times New Roman"/>
          <w:szCs w:val="32"/>
        </w:rPr>
        <w:t>从而</w:t>
      </w:r>
      <w:r>
        <w:rPr>
          <w:rFonts w:ascii="Times New Roman"/>
          <w:szCs w:val="32"/>
        </w:rPr>
        <w:t>导致系统自净能力减弱，系统稳定性和耐冲击能力降低</w:t>
      </w:r>
      <w:r>
        <w:rPr>
          <w:rFonts w:hint="eastAsia" w:ascii="Times New Roman"/>
          <w:szCs w:val="32"/>
        </w:rPr>
        <w:t>，</w:t>
      </w:r>
      <w:r>
        <w:rPr>
          <w:rFonts w:ascii="Times New Roman"/>
          <w:szCs w:val="32"/>
        </w:rPr>
        <w:t>推测为该水源地水质超标的客观原因。</w:t>
      </w:r>
    </w:p>
    <w:p w14:paraId="747D9827">
      <w:pPr>
        <w:pageBreakBefore w:val="0"/>
        <w:widowControl w:val="0"/>
        <w:kinsoku/>
        <w:bidi w:val="0"/>
        <w:spacing w:beforeAutospacing="0" w:afterAutospacing="0"/>
        <w:ind w:left="0" w:firstLine="482"/>
        <w:rPr>
          <w:rFonts w:ascii="Times New Roman"/>
          <w:b/>
        </w:rPr>
      </w:pPr>
      <w:r>
        <w:rPr>
          <w:rFonts w:hint="eastAsia" w:ascii="Times New Roman"/>
          <w:b/>
        </w:rPr>
        <w:t>2</w:t>
      </w:r>
      <w:r>
        <w:rPr>
          <w:rFonts w:ascii="Times New Roman"/>
          <w:b/>
        </w:rPr>
        <w:t>、农业面源污染和生活废水是</w:t>
      </w:r>
      <w:r>
        <w:rPr>
          <w:rFonts w:hint="eastAsia" w:ascii="Times New Roman"/>
          <w:b/>
          <w:lang w:val="en-US" w:eastAsia="zh-CN"/>
        </w:rPr>
        <w:t>饮用水源地</w:t>
      </w:r>
      <w:r>
        <w:rPr>
          <w:rFonts w:ascii="Times New Roman"/>
          <w:b/>
        </w:rPr>
        <w:t>水质超标的</w:t>
      </w:r>
      <w:r>
        <w:rPr>
          <w:rFonts w:hint="eastAsia" w:ascii="Times New Roman"/>
          <w:b/>
        </w:rPr>
        <w:t>重要</w:t>
      </w:r>
      <w:r>
        <w:rPr>
          <w:rFonts w:ascii="Times New Roman"/>
          <w:b/>
        </w:rPr>
        <w:t>原因。</w:t>
      </w:r>
      <w:r>
        <w:rPr>
          <w:rFonts w:ascii="Times New Roman"/>
        </w:rPr>
        <w:t>该水源地</w:t>
      </w:r>
      <w:r>
        <w:rPr>
          <w:rFonts w:hint="eastAsia" w:ascii="Times New Roman"/>
        </w:rPr>
        <w:t>附近</w:t>
      </w:r>
      <w:r>
        <w:rPr>
          <w:rFonts w:ascii="Times New Roman"/>
        </w:rPr>
        <w:t>存在</w:t>
      </w:r>
      <w:r>
        <w:rPr>
          <w:rFonts w:hint="eastAsia" w:ascii="Times New Roman"/>
          <w:lang w:val="en-US" w:eastAsia="zh-CN"/>
        </w:rPr>
        <w:t>农业种植</w:t>
      </w:r>
      <w:r>
        <w:rPr>
          <w:rFonts w:ascii="Times New Roman"/>
        </w:rPr>
        <w:t>，虽然近年来种植面积</w:t>
      </w:r>
      <w:r>
        <w:rPr>
          <w:rFonts w:hint="eastAsia" w:ascii="Times New Roman"/>
          <w:lang w:val="en-US" w:eastAsia="zh-CN"/>
        </w:rPr>
        <w:t>有减少</w:t>
      </w:r>
      <w:r>
        <w:rPr>
          <w:rFonts w:ascii="Times New Roman"/>
        </w:rPr>
        <w:t>，但每年依然会施加化肥，同时存在</w:t>
      </w:r>
      <w:r>
        <w:rPr>
          <w:rFonts w:hint="eastAsia" w:ascii="Times New Roman"/>
          <w:lang w:val="en-US" w:eastAsia="zh-CN"/>
        </w:rPr>
        <w:t>4</w:t>
      </w:r>
      <w:r>
        <w:rPr>
          <w:rFonts w:ascii="Times New Roman"/>
        </w:rPr>
        <w:t>户村民居住，生活</w:t>
      </w:r>
      <w:r>
        <w:rPr>
          <w:rFonts w:hint="eastAsia" w:ascii="Times New Roman"/>
          <w:lang w:val="en-US" w:eastAsia="zh-CN"/>
        </w:rPr>
        <w:t>污水</w:t>
      </w:r>
      <w:r>
        <w:rPr>
          <w:rFonts w:ascii="Times New Roman"/>
        </w:rPr>
        <w:t>经处理后进行还田灌溉，导致P等污染物随着地表径流</w:t>
      </w:r>
      <w:r>
        <w:rPr>
          <w:rFonts w:hint="eastAsia" w:ascii="Times New Roman"/>
          <w:lang w:val="en-US" w:eastAsia="zh-CN"/>
        </w:rPr>
        <w:t>流入饮用水源地</w:t>
      </w:r>
      <w:r>
        <w:rPr>
          <w:rFonts w:ascii="Times New Roman"/>
        </w:rPr>
        <w:t>，可能为水质超标的直接原因。</w:t>
      </w:r>
    </w:p>
    <w:p w14:paraId="79E2A624">
      <w:pPr>
        <w:pStyle w:val="9"/>
        <w:pageBreakBefore w:val="0"/>
        <w:widowControl w:val="0"/>
        <w:kinsoku/>
        <w:bidi w:val="0"/>
        <w:spacing w:before="0" w:beforeAutospacing="0" w:after="0" w:afterAutospacing="0"/>
        <w:ind w:left="0"/>
      </w:pPr>
      <w:bookmarkStart w:id="95" w:name="_Toc43925481"/>
      <w:bookmarkStart w:id="96" w:name="_Toc17120"/>
      <w:r>
        <w:rPr>
          <w:rFonts w:hint="eastAsia"/>
        </w:rPr>
        <w:t>水源地水质达标整治方案</w:t>
      </w:r>
      <w:bookmarkEnd w:id="95"/>
      <w:bookmarkEnd w:id="96"/>
    </w:p>
    <w:p w14:paraId="6FED0BFF">
      <w:pPr>
        <w:pageBreakBefore w:val="0"/>
        <w:widowControl w:val="0"/>
        <w:kinsoku/>
        <w:bidi w:val="0"/>
        <w:spacing w:beforeAutospacing="0" w:afterAutospacing="0"/>
        <w:ind w:left="0" w:firstLine="480"/>
        <w:rPr>
          <w:rFonts w:ascii="Times New Roman"/>
          <w:szCs w:val="28"/>
        </w:rPr>
      </w:pPr>
      <w:r>
        <w:rPr>
          <w:rFonts w:hint="eastAsia" w:ascii="Times New Roman"/>
          <w:lang w:eastAsia="zh-CN"/>
        </w:rPr>
        <w:t>黄石镇铁炉沟水源地</w:t>
      </w:r>
      <w:r>
        <w:rPr>
          <w:rFonts w:ascii="Times New Roman"/>
        </w:rPr>
        <w:t>属</w:t>
      </w:r>
      <w:r>
        <w:rPr>
          <w:rFonts w:hint="eastAsia" w:ascii="Times New Roman"/>
          <w:lang w:val="en-US" w:eastAsia="zh-CN"/>
        </w:rPr>
        <w:t>河流型</w:t>
      </w:r>
      <w:r>
        <w:rPr>
          <w:rFonts w:hint="eastAsia" w:ascii="Times New Roman"/>
        </w:rPr>
        <w:t>饮用水源</w:t>
      </w:r>
      <w:r>
        <w:rPr>
          <w:rFonts w:ascii="Times New Roman"/>
        </w:rPr>
        <w:t>，</w:t>
      </w:r>
      <w:r>
        <w:rPr>
          <w:rFonts w:hint="eastAsia" w:ascii="Times New Roman"/>
          <w:szCs w:val="28"/>
        </w:rPr>
        <w:t>根据</w:t>
      </w:r>
      <w:r>
        <w:rPr>
          <w:rFonts w:hint="eastAsia" w:ascii="Times New Roman" w:hAnsi="Times New Roman" w:eastAsia="宋体" w:cs="Times New Roman"/>
          <w:szCs w:val="28"/>
          <w:lang w:val="en-US" w:eastAsia="zh-CN"/>
        </w:rPr>
        <w:t>《万州等18个区县（自治县）集中式饮用水水源地保护区划分及调整方案》（渝府办发〔201</w:t>
      </w:r>
      <w:r>
        <w:rPr>
          <w:rFonts w:hint="eastAsia" w:ascii="Times New Roman" w:cs="Times New Roman"/>
          <w:szCs w:val="28"/>
          <w:lang w:val="en-US" w:eastAsia="zh-CN"/>
        </w:rPr>
        <w:t>7</w:t>
      </w:r>
      <w:r>
        <w:rPr>
          <w:rFonts w:hint="eastAsia" w:ascii="Times New Roman" w:hAnsi="Times New Roman" w:eastAsia="宋体" w:cs="Times New Roman"/>
          <w:szCs w:val="28"/>
          <w:lang w:val="en-US" w:eastAsia="zh-CN"/>
        </w:rPr>
        <w:t>〕</w:t>
      </w:r>
      <w:r>
        <w:rPr>
          <w:rFonts w:hint="eastAsia" w:ascii="Times New Roman" w:cs="Times New Roman"/>
          <w:szCs w:val="28"/>
          <w:lang w:val="en-US" w:eastAsia="zh-CN"/>
        </w:rPr>
        <w:t>21</w:t>
      </w:r>
      <w:r>
        <w:rPr>
          <w:rFonts w:hint="eastAsia" w:ascii="Times New Roman" w:hAnsi="Times New Roman" w:eastAsia="宋体" w:cs="Times New Roman"/>
          <w:szCs w:val="28"/>
          <w:lang w:val="en-US" w:eastAsia="zh-CN"/>
        </w:rPr>
        <w:t>号）</w:t>
      </w:r>
      <w:r>
        <w:rPr>
          <w:rFonts w:hint="eastAsia" w:ascii="Times New Roman"/>
          <w:szCs w:val="28"/>
        </w:rPr>
        <w:t>文件，划定</w:t>
      </w:r>
      <w:r>
        <w:rPr>
          <w:rFonts w:hint="eastAsia" w:ascii="Times New Roman"/>
          <w:szCs w:val="28"/>
          <w:lang w:val="en-US" w:eastAsia="zh-CN"/>
        </w:rPr>
        <w:t>云阳县</w:t>
      </w:r>
      <w:r>
        <w:rPr>
          <w:rFonts w:hint="eastAsia" w:ascii="Times New Roman"/>
          <w:szCs w:val="28"/>
          <w:lang w:eastAsia="zh-CN"/>
        </w:rPr>
        <w:t>黄石镇铁炉沟集中式饮用水水源地</w:t>
      </w:r>
      <w:r>
        <w:rPr>
          <w:rFonts w:hint="eastAsia" w:ascii="Times New Roman"/>
          <w:szCs w:val="28"/>
        </w:rPr>
        <w:t>为</w:t>
      </w:r>
      <w:r>
        <w:rPr>
          <w:rFonts w:hint="eastAsia" w:ascii="Times New Roman"/>
          <w:szCs w:val="28"/>
          <w:lang w:eastAsia="zh-CN"/>
        </w:rPr>
        <w:t>河流型</w:t>
      </w:r>
      <w:r>
        <w:rPr>
          <w:rFonts w:hint="eastAsia" w:ascii="Times New Roman"/>
          <w:szCs w:val="28"/>
        </w:rPr>
        <w:t>饮用水源地，保护区范围如下：</w:t>
      </w:r>
    </w:p>
    <w:tbl>
      <w:tblPr>
        <w:tblStyle w:val="27"/>
        <w:tblpPr w:leftFromText="180" w:rightFromText="180" w:vertAnchor="text" w:horzAnchor="page" w:tblpX="1743" w:tblpY="175"/>
        <w:tblOverlap w:val="never"/>
        <w:tblW w:w="9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0"/>
        <w:gridCol w:w="1540"/>
        <w:gridCol w:w="1590"/>
        <w:gridCol w:w="1984"/>
        <w:gridCol w:w="2620"/>
      </w:tblGrid>
      <w:tr w14:paraId="0544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0" w:type="dxa"/>
            <w:vMerge w:val="restart"/>
            <w:tcBorders>
              <w:top w:val="single" w:color="auto" w:sz="4" w:space="0"/>
              <w:left w:val="single" w:color="auto" w:sz="4" w:space="0"/>
              <w:right w:val="single" w:color="000000" w:sz="4" w:space="0"/>
            </w:tcBorders>
            <w:shd w:val="clear" w:color="auto" w:fill="auto"/>
            <w:vAlign w:val="center"/>
          </w:tcPr>
          <w:p w14:paraId="737C54E3">
            <w:pPr>
              <w:pageBreakBefore w:val="0"/>
              <w:widowControl w:val="0"/>
              <w:kinsoku/>
              <w:bidi w:val="0"/>
              <w:spacing w:beforeAutospacing="0" w:afterAutospacing="0"/>
              <w:ind w:left="0" w:leftChars="0" w:firstLine="0" w:firstLineChars="0"/>
              <w:jc w:val="center"/>
              <w:rPr>
                <w:rFonts w:hint="eastAsia" w:ascii="方正黑体_GBK" w:hAnsi="方正黑体_GBK" w:eastAsia="方正黑体_GBK" w:cs="方正黑体_GBK"/>
                <w:i w:val="0"/>
                <w:iCs w:val="0"/>
                <w:color w:val="000000"/>
                <w:sz w:val="21"/>
                <w:szCs w:val="21"/>
                <w:u w:val="none"/>
                <w:lang w:eastAsia="zh-CN"/>
              </w:rPr>
            </w:pPr>
            <w:r>
              <w:rPr>
                <w:rFonts w:hint="eastAsia" w:ascii="方正黑体_GBK" w:hAnsi="方正黑体_GBK" w:eastAsia="方正黑体_GBK" w:cs="方正黑体_GBK"/>
                <w:i w:val="0"/>
                <w:iCs w:val="0"/>
                <w:color w:val="000000"/>
                <w:sz w:val="21"/>
                <w:szCs w:val="21"/>
                <w:u w:val="none"/>
                <w:lang w:eastAsia="zh-CN"/>
              </w:rPr>
              <w:t>水源地名称</w:t>
            </w:r>
          </w:p>
        </w:tc>
        <w:tc>
          <w:tcPr>
            <w:tcW w:w="313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C2CCBD7">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一级保护区</w:t>
            </w:r>
          </w:p>
        </w:tc>
        <w:tc>
          <w:tcPr>
            <w:tcW w:w="4604"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61AFF370">
            <w:pPr>
              <w:pageBreakBefore w:val="0"/>
              <w:widowControl w:val="0"/>
              <w:kinsoku/>
              <w:bidi w:val="0"/>
              <w:spacing w:beforeAutospacing="0" w:afterAutospacing="0"/>
              <w:ind w:left="0"/>
              <w:jc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1"/>
                <w:szCs w:val="21"/>
                <w:u w:val="none"/>
                <w:lang w:val="en-US" w:eastAsia="zh-CN" w:bidi="ar"/>
              </w:rPr>
              <w:t>二级保护区</w:t>
            </w:r>
          </w:p>
        </w:tc>
      </w:tr>
      <w:tr w14:paraId="6224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0" w:type="dxa"/>
            <w:vMerge w:val="continue"/>
            <w:tcBorders>
              <w:left w:val="single" w:color="auto" w:sz="4" w:space="0"/>
              <w:bottom w:val="single" w:color="auto" w:sz="4" w:space="0"/>
              <w:right w:val="single" w:color="000000" w:sz="4" w:space="0"/>
            </w:tcBorders>
            <w:shd w:val="clear" w:color="auto" w:fill="auto"/>
            <w:vAlign w:val="center"/>
          </w:tcPr>
          <w:p w14:paraId="64B75270">
            <w:pPr>
              <w:pageBreakBefore w:val="0"/>
              <w:widowControl w:val="0"/>
              <w:kinsoku/>
              <w:bidi w:val="0"/>
              <w:spacing w:beforeAutospacing="0" w:afterAutospacing="0"/>
              <w:ind w:left="0"/>
              <w:jc w:val="center"/>
              <w:rPr>
                <w:rFonts w:hint="eastAsia" w:ascii="方正黑体_GBK" w:hAnsi="方正黑体_GBK" w:eastAsia="方正黑体_GBK" w:cs="方正黑体_GBK"/>
                <w:i w:val="0"/>
                <w:iCs w:val="0"/>
                <w:color w:val="000000"/>
                <w:sz w:val="21"/>
                <w:szCs w:val="21"/>
                <w:u w:val="none"/>
              </w:rPr>
            </w:pPr>
          </w:p>
        </w:tc>
        <w:tc>
          <w:tcPr>
            <w:tcW w:w="1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D2EE1E2">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水域范围</w:t>
            </w:r>
          </w:p>
        </w:tc>
        <w:tc>
          <w:tcPr>
            <w:tcW w:w="15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E19C5F">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陆域范围</w:t>
            </w:r>
          </w:p>
        </w:tc>
        <w:tc>
          <w:tcPr>
            <w:tcW w:w="1984" w:type="dxa"/>
            <w:tcBorders>
              <w:top w:val="single" w:color="000000" w:sz="4" w:space="0"/>
              <w:left w:val="single" w:color="000000" w:sz="4" w:space="0"/>
              <w:bottom w:val="single" w:color="auto" w:sz="4" w:space="0"/>
              <w:right w:val="single" w:color="000000" w:sz="4" w:space="0"/>
            </w:tcBorders>
            <w:shd w:val="clear" w:color="auto" w:fill="auto"/>
            <w:vAlign w:val="center"/>
          </w:tcPr>
          <w:p w14:paraId="64468F23">
            <w:pPr>
              <w:keepNext w:val="0"/>
              <w:keepLines w:val="0"/>
              <w:pageBreakBefore w:val="0"/>
              <w:widowControl w:val="0"/>
              <w:suppressLineNumbers w:val="0"/>
              <w:kinsoku/>
              <w:bidi w:val="0"/>
              <w:spacing w:beforeAutospacing="0" w:afterAutospacing="0"/>
              <w:ind w:left="0" w:leftChars="0" w:firstLine="0" w:firstLineChars="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水域范围</w:t>
            </w:r>
          </w:p>
        </w:tc>
        <w:tc>
          <w:tcPr>
            <w:tcW w:w="2620" w:type="dxa"/>
            <w:tcBorders>
              <w:top w:val="single" w:color="000000" w:sz="4" w:space="0"/>
              <w:left w:val="single" w:color="000000" w:sz="4" w:space="0"/>
              <w:bottom w:val="single" w:color="auto" w:sz="4" w:space="0"/>
              <w:right w:val="single" w:color="auto" w:sz="4" w:space="0"/>
            </w:tcBorders>
            <w:shd w:val="clear" w:color="auto" w:fill="auto"/>
            <w:vAlign w:val="center"/>
          </w:tcPr>
          <w:p w14:paraId="6475F74E">
            <w:pPr>
              <w:pageBreakBefore w:val="0"/>
              <w:widowControl w:val="0"/>
              <w:kinsoku/>
              <w:bidi w:val="0"/>
              <w:spacing w:beforeAutospacing="0" w:afterAutospacing="0"/>
              <w:ind w:left="0" w:leftChars="0" w:firstLine="0" w:firstLineChars="0"/>
              <w:jc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1"/>
                <w:szCs w:val="21"/>
                <w:u w:val="none"/>
                <w:lang w:val="en-US" w:eastAsia="zh-CN" w:bidi="ar"/>
              </w:rPr>
              <w:t>陆域范围</w:t>
            </w:r>
          </w:p>
        </w:tc>
      </w:tr>
      <w:tr w14:paraId="1F67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0" w:type="dxa"/>
            <w:tcBorders>
              <w:top w:val="single" w:color="auto" w:sz="4" w:space="0"/>
              <w:left w:val="single" w:color="000000" w:sz="4" w:space="0"/>
              <w:bottom w:val="single" w:color="000000" w:sz="4" w:space="0"/>
              <w:right w:val="single" w:color="000000" w:sz="4" w:space="0"/>
            </w:tcBorders>
            <w:shd w:val="clear" w:color="auto" w:fill="auto"/>
            <w:vAlign w:val="center"/>
          </w:tcPr>
          <w:p w14:paraId="2855E219">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280" w:lineRule="exact"/>
              <w:ind w:left="0" w:leftChars="0" w:firstLine="0" w:firstLineChars="0"/>
              <w:jc w:val="left"/>
              <w:textAlignment w:val="center"/>
              <w:rPr>
                <w:rFonts w:hint="eastAsia" w:ascii="方正仿宋_GBK" w:hAnsi="方正仿宋_GBK" w:eastAsia="方正仿宋_GBK" w:cs="方正仿宋_GBK"/>
                <w:i w:val="0"/>
                <w:iCs w:val="0"/>
                <w:color w:val="000000"/>
                <w:sz w:val="21"/>
                <w:szCs w:val="21"/>
                <w:u w:val="none"/>
                <w:lang w:val="en-US" w:eastAsia="zh-CN" w:bidi="ar-SA"/>
              </w:rPr>
            </w:pPr>
            <w:r>
              <w:rPr>
                <w:rFonts w:hint="eastAsia" w:ascii="方正仿宋_GBK" w:hAnsi="方正仿宋_GBK" w:eastAsia="方正仿宋_GBK" w:cs="方正仿宋_GBK"/>
                <w:i w:val="0"/>
                <w:iCs w:val="0"/>
                <w:color w:val="000000"/>
                <w:sz w:val="21"/>
                <w:szCs w:val="21"/>
                <w:u w:val="none"/>
              </w:rPr>
              <w:t>黄石镇</w:t>
            </w:r>
            <w:r>
              <w:rPr>
                <w:rFonts w:hint="eastAsia" w:ascii="方正仿宋_GBK" w:hAnsi="方正仿宋_GBK" w:eastAsia="方正仿宋_GBK" w:cs="方正仿宋_GBK"/>
                <w:i w:val="0"/>
                <w:iCs w:val="0"/>
                <w:color w:val="000000"/>
                <w:sz w:val="21"/>
                <w:szCs w:val="21"/>
                <w:u w:val="none"/>
                <w:lang w:eastAsia="zh-CN"/>
              </w:rPr>
              <w:t>铁炉沟</w:t>
            </w:r>
            <w:r>
              <w:rPr>
                <w:rFonts w:hint="eastAsia" w:ascii="方正仿宋_GBK" w:hAnsi="方正仿宋_GBK" w:eastAsia="方正仿宋_GBK" w:cs="方正仿宋_GBK"/>
                <w:i w:val="0"/>
                <w:iCs w:val="0"/>
                <w:color w:val="000000"/>
                <w:sz w:val="21"/>
                <w:szCs w:val="21"/>
                <w:u w:val="none"/>
              </w:rPr>
              <w:t>黄石水厂水源地</w:t>
            </w:r>
          </w:p>
        </w:tc>
        <w:tc>
          <w:tcPr>
            <w:tcW w:w="1540" w:type="dxa"/>
            <w:tcBorders>
              <w:top w:val="single" w:color="auto" w:sz="4" w:space="0"/>
              <w:left w:val="single" w:color="000000" w:sz="4" w:space="0"/>
              <w:bottom w:val="single" w:color="000000" w:sz="4" w:space="0"/>
              <w:right w:val="single" w:color="000000" w:sz="4" w:space="0"/>
            </w:tcBorders>
            <w:shd w:val="clear" w:color="auto" w:fill="auto"/>
            <w:vAlign w:val="center"/>
          </w:tcPr>
          <w:p w14:paraId="4CFC8FDF">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28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取水点上游1000米至下游100米，5年一遇洪水所能淹没的水域</w:t>
            </w:r>
          </w:p>
        </w:tc>
        <w:tc>
          <w:tcPr>
            <w:tcW w:w="1590" w:type="dxa"/>
            <w:tcBorders>
              <w:top w:val="single" w:color="auto" w:sz="4" w:space="0"/>
              <w:left w:val="single" w:color="000000" w:sz="4" w:space="0"/>
              <w:bottom w:val="single" w:color="000000" w:sz="4" w:space="0"/>
              <w:right w:val="single" w:color="000000" w:sz="4" w:space="0"/>
            </w:tcBorders>
            <w:shd w:val="clear" w:color="auto" w:fill="auto"/>
            <w:vAlign w:val="center"/>
          </w:tcPr>
          <w:p w14:paraId="420CE2EC">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28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河岸两侧纵深各50米的陆域,陆域沿岸长度与一级保护区水域长度相同</w:t>
            </w:r>
          </w:p>
        </w:tc>
        <w:tc>
          <w:tcPr>
            <w:tcW w:w="1984" w:type="dxa"/>
            <w:tcBorders>
              <w:top w:val="single" w:color="auto" w:sz="4" w:space="0"/>
              <w:left w:val="single" w:color="000000" w:sz="4" w:space="0"/>
              <w:bottom w:val="single" w:color="000000" w:sz="4" w:space="0"/>
              <w:right w:val="single" w:color="000000" w:sz="4" w:space="0"/>
            </w:tcBorders>
            <w:shd w:val="clear" w:color="auto" w:fill="auto"/>
            <w:vAlign w:val="center"/>
          </w:tcPr>
          <w:p w14:paraId="194B2660">
            <w:pPr>
              <w:keepNext w:val="0"/>
              <w:keepLines w:val="0"/>
              <w:pageBreakBefore w:val="0"/>
              <w:widowControl w:val="0"/>
              <w:suppressLineNumbers w:val="0"/>
              <w:kinsoku/>
              <w:wordWrap w:val="0"/>
              <w:overflowPunct w:val="0"/>
              <w:topLinePunct/>
              <w:autoSpaceDE w:val="0"/>
              <w:autoSpaceDN w:val="0"/>
              <w:bidi w:val="0"/>
              <w:adjustRightInd w:val="0"/>
              <w:snapToGrid w:val="0"/>
              <w:spacing w:beforeAutospacing="0" w:afterAutospacing="0" w:line="28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取水口上游1000至3000米，下游100至300米，一级保护区向外10年一遇洪水所能淹没的水域</w:t>
            </w:r>
          </w:p>
        </w:tc>
        <w:tc>
          <w:tcPr>
            <w:tcW w:w="2620" w:type="dxa"/>
            <w:tcBorders>
              <w:top w:val="single" w:color="auto" w:sz="4" w:space="0"/>
              <w:left w:val="single" w:color="000000" w:sz="4" w:space="0"/>
              <w:bottom w:val="single" w:color="000000" w:sz="4" w:space="0"/>
              <w:right w:val="single" w:color="000000" w:sz="4" w:space="0"/>
            </w:tcBorders>
            <w:shd w:val="clear" w:color="auto" w:fill="auto"/>
            <w:vAlign w:val="center"/>
          </w:tcPr>
          <w:p w14:paraId="4644ADB7">
            <w:pPr>
              <w:keepNext w:val="0"/>
              <w:keepLines w:val="0"/>
              <w:pageBreakBefore w:val="0"/>
              <w:widowControl w:val="0"/>
              <w:kinsoku/>
              <w:wordWrap w:val="0"/>
              <w:overflowPunct w:val="0"/>
              <w:topLinePunct/>
              <w:autoSpaceDE w:val="0"/>
              <w:autoSpaceDN w:val="0"/>
              <w:bidi w:val="0"/>
              <w:spacing w:beforeAutospacing="0" w:afterAutospacing="0" w:line="280" w:lineRule="exact"/>
              <w:ind w:left="0" w:leftChars="0" w:firstLine="0" w:firstLineChars="0"/>
              <w:jc w:val="left"/>
              <w:rPr>
                <w:rFonts w:hint="eastAsia" w:ascii="方正黑体_GBK" w:hAnsi="方正黑体_GBK" w:eastAsia="方正黑体_GBK" w:cs="方正黑体_GBK"/>
                <w:i w:val="0"/>
                <w:iCs w:val="0"/>
                <w:color w:val="000000"/>
                <w:sz w:val="22"/>
                <w:szCs w:val="22"/>
                <w:u w:val="none"/>
              </w:rPr>
            </w:pPr>
            <w:r>
              <w:rPr>
                <w:rFonts w:hint="eastAsia" w:ascii="方正仿宋_GBK" w:hAnsi="方正仿宋_GBK" w:eastAsia="方正仿宋_GBK" w:cs="方正仿宋_GBK"/>
                <w:i w:val="0"/>
                <w:iCs w:val="0"/>
                <w:color w:val="000000"/>
                <w:kern w:val="0"/>
                <w:sz w:val="21"/>
                <w:szCs w:val="21"/>
                <w:u w:val="none"/>
                <w:lang w:val="en-US" w:eastAsia="zh-CN" w:bidi="ar"/>
              </w:rPr>
              <w:t>河岸两侧纵深各1000米的陆域（一级保护区陆域外），但不超过分水岭，陆域沿岸长度与二级保护区水域长度相同</w:t>
            </w:r>
          </w:p>
        </w:tc>
      </w:tr>
    </w:tbl>
    <w:p w14:paraId="62D0A559">
      <w:pPr>
        <w:pageBreakBefore w:val="0"/>
        <w:widowControl w:val="0"/>
        <w:kinsoku/>
        <w:bidi w:val="0"/>
        <w:spacing w:beforeAutospacing="0" w:afterAutospacing="0"/>
        <w:ind w:left="0"/>
        <w:rPr>
          <w:rFonts w:ascii="Times New Roman"/>
        </w:rPr>
      </w:pPr>
      <w:r>
        <w:rPr>
          <w:rFonts w:ascii="Times New Roman"/>
        </w:rPr>
        <w:t>经现场踏勘</w:t>
      </w:r>
      <w:r>
        <w:rPr>
          <w:rFonts w:hint="eastAsia" w:ascii="Times New Roman"/>
          <w:lang w:eastAsia="zh-CN"/>
        </w:rPr>
        <w:t>黄石镇铁炉沟水源地</w:t>
      </w:r>
      <w:r>
        <w:rPr>
          <w:rFonts w:ascii="Times New Roman"/>
        </w:rPr>
        <w:t>周边以耕地、农田及林地为主。</w:t>
      </w:r>
    </w:p>
    <w:p w14:paraId="73E9ECAA">
      <w:pPr>
        <w:pageBreakBefore w:val="0"/>
        <w:widowControl w:val="0"/>
        <w:kinsoku/>
        <w:bidi w:val="0"/>
        <w:spacing w:beforeAutospacing="0" w:afterAutospacing="0"/>
        <w:ind w:left="0" w:firstLine="480"/>
        <w:rPr>
          <w:rFonts w:ascii="Times New Roman"/>
        </w:rPr>
      </w:pPr>
      <w:r>
        <w:rPr>
          <w:rFonts w:ascii="Times New Roman"/>
        </w:rPr>
        <w:t>《中华人民共和国水污染防治法》第五章第</w:t>
      </w:r>
      <w:r>
        <w:rPr>
          <w:rFonts w:hint="eastAsia" w:ascii="Times New Roman"/>
        </w:rPr>
        <w:t>六十五</w:t>
      </w:r>
      <w:r>
        <w:rPr>
          <w:rFonts w:ascii="Times New Roman"/>
        </w:rPr>
        <w:t>条规定，禁止在饮用水水源一级保护区内新建、改建、扩建与供水设施和保护水源无关的建设项目；已建成的与供水设施和保护水源无关的建设项目，由县级以上人民政府责令拆除或者关闭。第五章第</w:t>
      </w:r>
      <w:r>
        <w:rPr>
          <w:rFonts w:hint="eastAsia" w:ascii="Times New Roman"/>
        </w:rPr>
        <w:t>七</w:t>
      </w:r>
      <w:r>
        <w:rPr>
          <w:rFonts w:ascii="Times New Roman"/>
        </w:rPr>
        <w:t>十三条规定，国务院和省、自治区、直辖市人民政府根据水环境保护的需要，可以规定在饮用水水源保护区内，采取禁止或者限制使用含磷洗涤剂、化肥、农药以及限制种植养殖等措施。</w:t>
      </w:r>
    </w:p>
    <w:p w14:paraId="1076768E">
      <w:pPr>
        <w:pageBreakBefore w:val="0"/>
        <w:widowControl w:val="0"/>
        <w:kinsoku/>
        <w:bidi w:val="0"/>
        <w:spacing w:beforeAutospacing="0" w:afterAutospacing="0"/>
        <w:ind w:left="0" w:firstLine="480"/>
        <w:rPr>
          <w:rFonts w:ascii="Times New Roman" w:hAnsi="Times New Roman" w:eastAsia="宋体" w:cs="Times New Roman"/>
        </w:rPr>
      </w:pPr>
      <w:r>
        <w:rPr>
          <w:rFonts w:hint="eastAsia" w:ascii="Times New Roman"/>
          <w:lang w:eastAsia="zh-CN"/>
        </w:rPr>
        <w:t>黄石镇铁炉沟水源地</w:t>
      </w:r>
      <w:r>
        <w:rPr>
          <w:rFonts w:ascii="Times New Roman"/>
        </w:rPr>
        <w:t>目前主要的污染源输入主要来自于</w:t>
      </w:r>
      <w:r>
        <w:rPr>
          <w:rFonts w:hint="eastAsia" w:ascii="Times New Roman"/>
          <w:lang w:val="en-US" w:eastAsia="zh-CN"/>
        </w:rPr>
        <w:t>饮用水源地</w:t>
      </w:r>
      <w:r>
        <w:rPr>
          <w:rFonts w:ascii="Times New Roman"/>
        </w:rPr>
        <w:t>农村生活污染、农</w:t>
      </w:r>
      <w:r>
        <w:rPr>
          <w:rFonts w:ascii="Times New Roman" w:hAnsi="Times New Roman" w:eastAsia="宋体" w:cs="Times New Roman"/>
        </w:rPr>
        <w:t>业面源污染等外源污染以及内源释放。如何使</w:t>
      </w:r>
      <w:r>
        <w:rPr>
          <w:rFonts w:hint="eastAsia" w:ascii="Times New Roman" w:cs="Times New Roman"/>
          <w:lang w:eastAsia="zh-CN"/>
        </w:rPr>
        <w:t>黄石</w:t>
      </w:r>
      <w:r>
        <w:rPr>
          <w:rFonts w:hint="eastAsia" w:ascii="Times New Roman" w:hAnsi="Times New Roman" w:eastAsia="宋体" w:cs="Times New Roman"/>
          <w:lang w:eastAsia="zh-CN"/>
        </w:rPr>
        <w:t>镇</w:t>
      </w:r>
      <w:r>
        <w:rPr>
          <w:rFonts w:hint="eastAsia" w:ascii="Times New Roman" w:cs="Times New Roman"/>
          <w:lang w:eastAsia="zh-CN"/>
        </w:rPr>
        <w:t>铁炉沟集中式饮用水水源地</w:t>
      </w:r>
      <w:r>
        <w:rPr>
          <w:rFonts w:ascii="Times New Roman" w:hAnsi="Times New Roman" w:eastAsia="宋体" w:cs="Times New Roman"/>
        </w:rPr>
        <w:t>水质达到</w:t>
      </w:r>
      <w:r>
        <w:rPr>
          <w:rFonts w:hint="eastAsia" w:ascii="Times New Roman" w:hAnsi="Times New Roman" w:eastAsia="宋体" w:cs="Times New Roman"/>
        </w:rPr>
        <w:t>《地</w:t>
      </w:r>
      <w:r>
        <w:rPr>
          <w:rFonts w:hint="eastAsia" w:ascii="Times New Roman" w:hAnsi="Times New Roman" w:eastAsia="宋体" w:cs="Times New Roman"/>
          <w:lang w:val="en-US" w:eastAsia="zh-CN"/>
        </w:rPr>
        <w:t>表</w:t>
      </w:r>
      <w:r>
        <w:rPr>
          <w:rFonts w:hint="eastAsia" w:ascii="Times New Roman" w:hAnsi="Times New Roman" w:eastAsia="宋体" w:cs="Times New Roman"/>
        </w:rPr>
        <w:t>水</w:t>
      </w:r>
      <w:r>
        <w:rPr>
          <w:rFonts w:hint="eastAsia" w:ascii="Times New Roman" w:hAnsi="Times New Roman" w:eastAsia="宋体" w:cs="Times New Roman"/>
          <w:lang w:val="en-US" w:eastAsia="zh-CN"/>
        </w:rPr>
        <w:t>环境</w:t>
      </w:r>
      <w:r>
        <w:rPr>
          <w:rFonts w:hint="eastAsia" w:ascii="Times New Roman" w:hAnsi="Times New Roman" w:eastAsia="宋体" w:cs="Times New Roman"/>
        </w:rPr>
        <w:t xml:space="preserve">质量标准》（GB </w:t>
      </w:r>
      <w:r>
        <w:rPr>
          <w:rFonts w:hint="eastAsia" w:ascii="Times New Roman" w:hAnsi="Times New Roman" w:eastAsia="宋体" w:cs="Times New Roman"/>
          <w:lang w:val="en-US" w:eastAsia="zh-CN"/>
        </w:rPr>
        <w:t>3838</w:t>
      </w:r>
      <w:r>
        <w:rPr>
          <w:rFonts w:hint="eastAsia" w:ascii="Times New Roman" w:hAnsi="Times New Roman" w:eastAsia="宋体" w:cs="Times New Roman"/>
        </w:rPr>
        <w:t>-20</w:t>
      </w:r>
      <w:r>
        <w:rPr>
          <w:rFonts w:hint="eastAsia" w:ascii="Times New Roman" w:hAnsi="Times New Roman" w:eastAsia="宋体" w:cs="Times New Roman"/>
          <w:lang w:val="en-US" w:eastAsia="zh-CN"/>
        </w:rPr>
        <w:t>02</w:t>
      </w:r>
      <w:r>
        <w:rPr>
          <w:rFonts w:hint="eastAsia" w:ascii="Times New Roman" w:hAnsi="Times New Roman" w:eastAsia="宋体" w:cs="Times New Roman"/>
        </w:rPr>
        <w:t>）》</w:t>
      </w:r>
      <w:r>
        <w:rPr>
          <w:rFonts w:ascii="Times New Roman" w:hAnsi="Times New Roman" w:eastAsia="宋体" w:cs="Times New Roman"/>
        </w:rPr>
        <w:t>Ⅲ类标准，让人民喝上放心水、健康水，是</w:t>
      </w:r>
      <w:r>
        <w:rPr>
          <w:rFonts w:hint="eastAsia" w:ascii="Times New Roman" w:cs="Times New Roman"/>
          <w:lang w:eastAsia="zh-CN"/>
        </w:rPr>
        <w:t>黄石</w:t>
      </w:r>
      <w:r>
        <w:rPr>
          <w:rFonts w:hint="eastAsia" w:ascii="Times New Roman" w:hAnsi="Times New Roman" w:eastAsia="宋体" w:cs="Times New Roman"/>
          <w:lang w:eastAsia="zh-CN"/>
        </w:rPr>
        <w:t>镇</w:t>
      </w:r>
      <w:r>
        <w:rPr>
          <w:rFonts w:hint="eastAsia" w:ascii="Times New Roman" w:cs="Times New Roman"/>
          <w:lang w:eastAsia="zh-CN"/>
        </w:rPr>
        <w:t>铁炉沟集中式饮用水水源地</w:t>
      </w:r>
      <w:r>
        <w:rPr>
          <w:rFonts w:ascii="Times New Roman" w:hAnsi="Times New Roman" w:eastAsia="宋体" w:cs="Times New Roman"/>
        </w:rPr>
        <w:t>治理的核心。</w:t>
      </w:r>
    </w:p>
    <w:p w14:paraId="1D6E9C9E">
      <w:pPr>
        <w:pageBreakBefore w:val="0"/>
        <w:widowControl w:val="0"/>
        <w:kinsoku/>
        <w:bidi w:val="0"/>
        <w:spacing w:beforeAutospacing="0" w:afterAutospacing="0"/>
        <w:ind w:left="0" w:firstLine="480"/>
        <w:rPr>
          <w:rFonts w:ascii="Times New Roman"/>
        </w:rPr>
      </w:pPr>
      <w:r>
        <w:rPr>
          <w:rFonts w:ascii="Times New Roman"/>
        </w:rPr>
        <w:t>因此</w:t>
      </w:r>
      <w:r>
        <w:rPr>
          <w:rFonts w:hint="eastAsia" w:ascii="Times New Roman"/>
          <w:lang w:eastAsia="zh-CN"/>
        </w:rPr>
        <w:t>，黄石镇铁炉沟水源地</w:t>
      </w:r>
      <w:r>
        <w:rPr>
          <w:rFonts w:ascii="Times New Roman"/>
        </w:rPr>
        <w:t>水质达标整治方向为减少外来污染物输入和内源污染释放</w:t>
      </w:r>
      <w:r>
        <w:rPr>
          <w:rFonts w:hint="eastAsia" w:ascii="Times New Roman" w:hAnsi="Times New Roman" w:eastAsia="宋体" w:cs="Times New Roman"/>
          <w:lang w:eastAsia="zh-CN"/>
        </w:rPr>
        <w:t>，一级保护区范围内存在农业种植用地，需</w:t>
      </w:r>
      <w:r>
        <w:rPr>
          <w:rFonts w:hint="eastAsia" w:ascii="Times New Roman" w:hAnsi="Times New Roman" w:eastAsia="宋体" w:cs="Times New Roman"/>
          <w:lang w:val="en-US" w:eastAsia="zh-CN"/>
        </w:rPr>
        <w:t>退出种植</w:t>
      </w:r>
      <w:r>
        <w:rPr>
          <w:rFonts w:hint="eastAsia" w:ascii="Times New Roman" w:hAnsi="Times New Roman" w:eastAsia="宋体" w:cs="Times New Roman"/>
          <w:lang w:eastAsia="zh-CN"/>
        </w:rPr>
        <w:t>并恢复植被，逐渐实现退耕还林还草。同</w:t>
      </w:r>
      <w:r>
        <w:rPr>
          <w:rFonts w:ascii="Times New Roman"/>
        </w:rPr>
        <w:t>时</w:t>
      </w:r>
      <w:r>
        <w:rPr>
          <w:rFonts w:hint="eastAsia" w:ascii="Times New Roman"/>
          <w:lang w:val="en-US" w:eastAsia="zh-CN"/>
        </w:rPr>
        <w:t>修缮加固</w:t>
      </w:r>
      <w:r>
        <w:rPr>
          <w:rFonts w:ascii="Times New Roman"/>
        </w:rPr>
        <w:t>防护隔离网，禁止人群进入活动，加强对饮用水源的保护。然后通过恢复水体的自然生态系统，达到自净。针对本</w:t>
      </w:r>
      <w:r>
        <w:rPr>
          <w:rFonts w:hint="eastAsia" w:ascii="Times New Roman"/>
          <w:lang w:val="en-US" w:eastAsia="zh-CN"/>
        </w:rPr>
        <w:t>饮用水源地</w:t>
      </w:r>
      <w:r>
        <w:rPr>
          <w:rFonts w:ascii="Times New Roman"/>
        </w:rPr>
        <w:t>来说，外来污染物分为</w:t>
      </w:r>
      <w:r>
        <w:rPr>
          <w:rFonts w:hint="eastAsia" w:ascii="Times New Roman"/>
          <w:lang w:val="en-US" w:eastAsia="zh-CN"/>
        </w:rPr>
        <w:t>2</w:t>
      </w:r>
      <w:r>
        <w:rPr>
          <w:rFonts w:ascii="Times New Roman"/>
        </w:rPr>
        <w:t>个部分，一是农村污染源的输入，二是农业面源的输入；内在修复主要指水体内部生态系统的整治和维护等。</w:t>
      </w:r>
    </w:p>
    <w:p w14:paraId="53CB794A">
      <w:pPr>
        <w:pStyle w:val="11"/>
        <w:pageBreakBefore w:val="0"/>
        <w:widowControl w:val="0"/>
        <w:kinsoku/>
        <w:bidi w:val="0"/>
        <w:spacing w:before="0" w:beforeAutospacing="0" w:after="0" w:afterAutospacing="0"/>
        <w:ind w:left="0"/>
      </w:pPr>
      <w:bookmarkStart w:id="97" w:name="_Toc6492"/>
      <w:r>
        <w:t>分散农户污染治理</w:t>
      </w:r>
      <w:bookmarkEnd w:id="97"/>
    </w:p>
    <w:p w14:paraId="496C0A7B">
      <w:pPr>
        <w:pStyle w:val="10"/>
        <w:pageBreakBefore w:val="0"/>
        <w:widowControl w:val="0"/>
        <w:kinsoku/>
        <w:bidi w:val="0"/>
        <w:spacing w:before="0" w:beforeAutospacing="0" w:after="0" w:afterAutospacing="0"/>
        <w:ind w:left="0"/>
      </w:pPr>
      <w:bookmarkStart w:id="98" w:name="_Toc3970"/>
      <w:r>
        <w:t>生活污水及农户地表径流</w:t>
      </w:r>
      <w:bookmarkEnd w:id="98"/>
    </w:p>
    <w:p w14:paraId="4F1CCC89">
      <w:pPr>
        <w:pageBreakBefore w:val="0"/>
        <w:widowControl w:val="0"/>
        <w:kinsoku/>
        <w:bidi w:val="0"/>
        <w:spacing w:beforeAutospacing="0" w:afterAutospacing="0"/>
        <w:ind w:left="0" w:firstLine="480"/>
      </w:pPr>
      <w:r>
        <w:rPr>
          <w:rFonts w:hint="eastAsia"/>
        </w:rPr>
        <w:t>据调研，水源地保护区周边存在着部分农田，造成农业面源污染，</w:t>
      </w:r>
      <w:r>
        <w:rPr>
          <w:rFonts w:hint="eastAsia"/>
          <w:lang w:eastAsia="zh-CN"/>
        </w:rPr>
        <w:t>涉及</w:t>
      </w:r>
      <w:r>
        <w:rPr>
          <w:rFonts w:hint="eastAsia"/>
        </w:rPr>
        <w:t>地表径流、化肥农药使用的面源污染的问题，</w:t>
      </w:r>
      <w:r>
        <w:t>主要污染物为（</w:t>
      </w:r>
      <w:r>
        <w:rPr>
          <w:rFonts w:hint="eastAsia"/>
        </w:rPr>
        <w:t>SS、</w:t>
      </w:r>
      <w:r>
        <w:t>COD、</w:t>
      </w:r>
      <w:r>
        <w:rPr>
          <w:rFonts w:hint="eastAsia"/>
        </w:rPr>
        <w:t>NH</w:t>
      </w:r>
      <w:r>
        <w:rPr>
          <w:rFonts w:hint="eastAsia"/>
          <w:vertAlign w:val="subscript"/>
        </w:rPr>
        <w:t>3</w:t>
      </w:r>
      <w:r>
        <w:rPr>
          <w:rFonts w:hint="eastAsia"/>
        </w:rPr>
        <w:t>-N、TP、TN</w:t>
      </w:r>
      <w:r>
        <w:t>）</w:t>
      </w:r>
      <w:r>
        <w:rPr>
          <w:rFonts w:hint="eastAsia"/>
        </w:rPr>
        <w:t>。水源地面源污染物主要来源于农业生产活动中，氮素和磷素等营养物质、农药以及其他有机或无机污染物质，农田中的土粒、化肥中氮、磷元素、农药及其他有机或无机污染物质，在降水或灌溉过程中，通过农田地表径流、农田排水和地下渗漏进入水体，引起水质污染的过程。</w:t>
      </w:r>
    </w:p>
    <w:p w14:paraId="15C05C20">
      <w:pPr>
        <w:keepNext w:val="0"/>
        <w:keepLines w:val="0"/>
        <w:pageBreakBefore w:val="0"/>
        <w:widowControl w:val="0"/>
        <w:kinsoku/>
        <w:wordWrap w:val="0"/>
        <w:overflowPunct w:val="0"/>
        <w:topLinePunct/>
        <w:autoSpaceDE w:val="0"/>
        <w:autoSpaceDN w:val="0"/>
        <w:bidi w:val="0"/>
        <w:adjustRightInd/>
        <w:snapToGrid/>
        <w:spacing w:beforeAutospacing="0" w:afterAutospacing="0"/>
        <w:ind w:left="0" w:firstLine="480"/>
        <w:textAlignment w:val="top"/>
        <w:rPr>
          <w:rFonts w:hint="eastAsia" w:ascii="宋体" w:hAnsi="Times New Roman" w:eastAsia="宋体" w:cs="Times New Roman"/>
          <w:lang w:val="en-US" w:eastAsia="zh-CN"/>
        </w:rPr>
      </w:pPr>
      <w:r>
        <w:rPr>
          <w:rFonts w:hint="eastAsia" w:ascii="宋体" w:hAnsi="Times New Roman" w:eastAsia="宋体" w:cs="Times New Roman"/>
          <w:lang w:val="en-US" w:eastAsia="zh-CN"/>
        </w:rPr>
        <w:t>强化治理，加大宣传。对</w:t>
      </w:r>
      <w:r>
        <w:rPr>
          <w:rFonts w:hint="eastAsia" w:cs="Times New Roman"/>
          <w:lang w:val="en-US" w:eastAsia="zh-CN"/>
        </w:rPr>
        <w:t>黄石镇铁炉沟集中式饮用水水源地</w:t>
      </w:r>
      <w:r>
        <w:rPr>
          <w:rFonts w:hint="eastAsia" w:ascii="宋体" w:hAnsi="Times New Roman" w:eastAsia="宋体" w:cs="Times New Roman"/>
          <w:lang w:val="en-US" w:eastAsia="zh-CN"/>
        </w:rPr>
        <w:t>的隔离防护网、标识牌等进行修缮升级。对拦污堰裂缝和沉降下陷区域进行修复，防止</w:t>
      </w:r>
      <w:r>
        <w:rPr>
          <w:rFonts w:hint="eastAsia" w:cs="Times New Roman"/>
          <w:lang w:val="en-US" w:eastAsia="zh-CN"/>
        </w:rPr>
        <w:t>人畜粪污</w:t>
      </w:r>
      <w:r>
        <w:rPr>
          <w:rFonts w:hint="eastAsia" w:ascii="宋体" w:hAnsi="Times New Roman" w:eastAsia="宋体" w:cs="Times New Roman"/>
          <w:lang w:val="en-US" w:eastAsia="zh-CN"/>
        </w:rPr>
        <w:t>流入水源地。</w:t>
      </w:r>
      <w:r>
        <w:rPr>
          <w:rFonts w:ascii="Times New Roman"/>
        </w:rPr>
        <w:t>规范畜禽养殖方式，要求周围村民对自家的畜禽一律圈养，不得散养</w:t>
      </w:r>
      <w:r>
        <w:rPr>
          <w:rFonts w:hint="eastAsia" w:ascii="Times New Roman"/>
          <w:lang w:eastAsia="zh-CN"/>
        </w:rPr>
        <w:t>，</w:t>
      </w:r>
      <w:r>
        <w:rPr>
          <w:rFonts w:hint="eastAsia" w:ascii="Times New Roman"/>
          <w:lang w:val="en-US" w:eastAsia="zh-CN"/>
        </w:rPr>
        <w:t>规范处理畜禽粪污，防止偷排直排或漏排</w:t>
      </w:r>
      <w:r>
        <w:rPr>
          <w:rFonts w:ascii="Times New Roman"/>
        </w:rPr>
        <w:t>。</w:t>
      </w:r>
      <w:r>
        <w:rPr>
          <w:rFonts w:hint="eastAsia" w:ascii="宋体" w:hAnsi="Times New Roman" w:eastAsia="宋体" w:cs="Times New Roman"/>
          <w:lang w:val="en-US" w:eastAsia="zh-CN"/>
        </w:rPr>
        <w:t>组织全体干部</w:t>
      </w:r>
      <w:r>
        <w:rPr>
          <w:rFonts w:hint="eastAsia" w:cs="Times New Roman"/>
          <w:lang w:val="en-US" w:eastAsia="zh-CN"/>
        </w:rPr>
        <w:t>群众</w:t>
      </w:r>
      <w:r>
        <w:rPr>
          <w:rFonts w:hint="eastAsia" w:ascii="宋体" w:hAnsi="Times New Roman" w:eastAsia="宋体" w:cs="Times New Roman"/>
          <w:lang w:val="en-US" w:eastAsia="zh-CN"/>
        </w:rPr>
        <w:t>集中学习《重庆市水污染防治条例》，利用广播、宣传栏、村民会议等方式，加强水源保护法律、法规和政策措施的宣传，引导群众正确处理好保护水源与保护区内经济社会转型发展的关系，增强群众保护水源的主动性和积极性，全面提升群众环境保护意识。</w:t>
      </w:r>
    </w:p>
    <w:p w14:paraId="053FF83B">
      <w:pPr>
        <w:pStyle w:val="10"/>
        <w:pageBreakBefore w:val="0"/>
        <w:widowControl w:val="0"/>
        <w:kinsoku/>
        <w:bidi w:val="0"/>
        <w:spacing w:before="0" w:beforeAutospacing="0" w:after="0" w:afterAutospacing="0"/>
        <w:ind w:left="0"/>
      </w:pPr>
      <w:bookmarkStart w:id="99" w:name="_Toc8305"/>
      <w:r>
        <w:t>农户生活垃圾</w:t>
      </w:r>
      <w:bookmarkEnd w:id="99"/>
    </w:p>
    <w:p w14:paraId="44CDEFA2">
      <w:pPr>
        <w:pageBreakBefore w:val="0"/>
        <w:widowControl w:val="0"/>
        <w:kinsoku/>
        <w:bidi w:val="0"/>
        <w:spacing w:beforeAutospacing="0" w:afterAutospacing="0"/>
        <w:ind w:left="0" w:firstLine="480"/>
      </w:pPr>
      <w:r>
        <w:rPr>
          <w:rFonts w:ascii="Times New Roman"/>
        </w:rPr>
        <w:t>根据现场调查，</w:t>
      </w:r>
      <w:r>
        <w:rPr>
          <w:rFonts w:hint="eastAsia" w:ascii="Times New Roman"/>
          <w:lang w:eastAsia="zh-CN"/>
        </w:rPr>
        <w:t>黄石镇铁炉沟集中式饮用水水源地</w:t>
      </w:r>
      <w:r>
        <w:rPr>
          <w:rFonts w:ascii="Times New Roman"/>
        </w:rPr>
        <w:t>集雨</w:t>
      </w:r>
      <w:r>
        <w:rPr>
          <w:rFonts w:hint="eastAsia" w:ascii="Times New Roman"/>
          <w:lang w:val="en-US" w:eastAsia="zh-CN"/>
        </w:rPr>
        <w:t>区边缘</w:t>
      </w:r>
      <w:r>
        <w:rPr>
          <w:rFonts w:ascii="Times New Roman"/>
        </w:rPr>
        <w:t>各分散农户居住点</w:t>
      </w:r>
      <w:r>
        <w:rPr>
          <w:rFonts w:hint="eastAsia" w:ascii="Times New Roman"/>
        </w:rPr>
        <w:t>未</w:t>
      </w:r>
      <w:r>
        <w:rPr>
          <w:rFonts w:ascii="Times New Roman"/>
        </w:rPr>
        <w:t>设置</w:t>
      </w:r>
      <w:r>
        <w:rPr>
          <w:rFonts w:hint="eastAsia" w:ascii="Times New Roman"/>
        </w:rPr>
        <w:t>分散垃圾收集点</w:t>
      </w:r>
      <w:r>
        <w:rPr>
          <w:rFonts w:ascii="Times New Roman"/>
        </w:rPr>
        <w:t>，</w:t>
      </w:r>
      <w:r>
        <w:rPr>
          <w:rFonts w:hint="eastAsia" w:ascii="Times New Roman"/>
          <w:lang w:val="en-US" w:eastAsia="zh-CN"/>
        </w:rPr>
        <w:t>黄石</w:t>
      </w:r>
      <w:r>
        <w:rPr>
          <w:rFonts w:hint="eastAsia" w:ascii="Times New Roman"/>
        </w:rPr>
        <w:t>镇</w:t>
      </w:r>
      <w:r>
        <w:rPr>
          <w:rFonts w:ascii="Times New Roman"/>
        </w:rPr>
        <w:t>人民政府加强对</w:t>
      </w:r>
      <w:r>
        <w:rPr>
          <w:rFonts w:hint="eastAsia" w:ascii="Times New Roman"/>
          <w:lang w:eastAsia="zh-CN"/>
        </w:rPr>
        <w:t>黄石镇铁炉沟集中式饮用水水源地</w:t>
      </w:r>
      <w:r>
        <w:rPr>
          <w:rFonts w:ascii="Times New Roman"/>
        </w:rPr>
        <w:t>集雨</w:t>
      </w:r>
      <w:r>
        <w:rPr>
          <w:rFonts w:hint="eastAsia" w:ascii="Times New Roman"/>
          <w:lang w:val="en-US" w:eastAsia="zh-CN"/>
        </w:rPr>
        <w:t>区边缘</w:t>
      </w:r>
      <w:r>
        <w:rPr>
          <w:rFonts w:ascii="Times New Roman"/>
        </w:rPr>
        <w:t>农户产生的生活垃圾进行定期清理，同时规范分散居民的垃圾分类习惯，防止垃圾长期放置随地表径流进入</w:t>
      </w:r>
      <w:r>
        <w:rPr>
          <w:rFonts w:hint="eastAsia" w:ascii="Times New Roman"/>
          <w:lang w:eastAsia="zh-CN"/>
        </w:rPr>
        <w:t>饮用水源地</w:t>
      </w:r>
      <w:r>
        <w:rPr>
          <w:rFonts w:ascii="Times New Roman"/>
        </w:rPr>
        <w:t>。</w:t>
      </w:r>
    </w:p>
    <w:p w14:paraId="50A8338F">
      <w:pPr>
        <w:pStyle w:val="11"/>
        <w:pageBreakBefore w:val="0"/>
        <w:widowControl w:val="0"/>
        <w:kinsoku/>
        <w:bidi w:val="0"/>
        <w:spacing w:before="0" w:beforeAutospacing="0" w:after="0" w:afterAutospacing="0"/>
        <w:ind w:left="0"/>
      </w:pPr>
      <w:bookmarkStart w:id="100" w:name="_Toc13039"/>
      <w:r>
        <w:t>农业面源污染治理</w:t>
      </w:r>
      <w:bookmarkEnd w:id="100"/>
    </w:p>
    <w:p w14:paraId="40F3F3A6">
      <w:pPr>
        <w:pageBreakBefore w:val="0"/>
        <w:widowControl w:val="0"/>
        <w:kinsoku/>
        <w:bidi w:val="0"/>
        <w:spacing w:beforeAutospacing="0" w:afterAutospacing="0"/>
        <w:ind w:left="0"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宣传动员群众逐步减少保护区内农业种植面积，调整保护区内农业种植结构</w:t>
      </w:r>
      <w:r>
        <w:rPr>
          <w:rFonts w:hint="eastAsia" w:ascii="Times New Roman" w:cs="Times New Roman"/>
          <w:lang w:val="en-US" w:eastAsia="zh-CN"/>
        </w:rPr>
        <w:t>；开展化肥农药减量宣传，</w:t>
      </w:r>
      <w:r>
        <w:rPr>
          <w:rFonts w:hint="eastAsia" w:ascii="Times New Roman" w:hAnsi="Times New Roman" w:eastAsia="宋体" w:cs="Times New Roman"/>
          <w:lang w:val="en-US" w:eastAsia="zh-CN"/>
        </w:rPr>
        <w:t>推广测土配方施肥技术，指导群众科学使用农家肥、有机肥和生物肥料，减少面源氮磷入</w:t>
      </w:r>
      <w:r>
        <w:rPr>
          <w:rFonts w:hint="eastAsia" w:ascii="Times New Roman" w:cs="Times New Roman"/>
          <w:lang w:val="en-US" w:eastAsia="zh-CN"/>
        </w:rPr>
        <w:t>河</w:t>
      </w:r>
      <w:r>
        <w:rPr>
          <w:rFonts w:hint="eastAsia" w:ascii="Times New Roman" w:hAnsi="Times New Roman" w:eastAsia="宋体" w:cs="Times New Roman"/>
          <w:lang w:val="en-US" w:eastAsia="zh-CN"/>
        </w:rPr>
        <w:t>总量，严格控制种植化肥农药污染。规范整治保护区畜禽养殖，严禁在</w:t>
      </w:r>
      <w:r>
        <w:rPr>
          <w:rFonts w:hint="eastAsia" w:ascii="Times New Roman" w:cs="Times New Roman"/>
          <w:lang w:val="en-US" w:eastAsia="zh-CN"/>
        </w:rPr>
        <w:t>饮用水源地</w:t>
      </w:r>
      <w:r>
        <w:rPr>
          <w:rFonts w:hint="eastAsia" w:ascii="Times New Roman" w:hAnsi="Times New Roman" w:eastAsia="宋体" w:cs="Times New Roman"/>
          <w:lang w:val="en-US" w:eastAsia="zh-CN"/>
        </w:rPr>
        <w:t>保护区随意放牧，粪污进行还田或无害化处理，严格控制新增养殖场及其他新建项目。</w:t>
      </w:r>
    </w:p>
    <w:p w14:paraId="26859A4C">
      <w:pPr>
        <w:pStyle w:val="2"/>
        <w:pageBreakBefore w:val="0"/>
        <w:widowControl w:val="0"/>
        <w:kinsoku/>
        <w:bidi w:val="0"/>
        <w:spacing w:before="0" w:beforeLines="0" w:beforeAutospacing="0" w:after="0" w:afterLines="0" w:afterAutospacing="0"/>
        <w:ind w:left="0"/>
        <w:rPr>
          <w:rFonts w:hint="eastAsia"/>
          <w:lang w:val="en-US" w:eastAsia="zh-CN"/>
        </w:rPr>
      </w:pPr>
      <w:r>
        <w:rPr>
          <w:rFonts w:hint="eastAsia" w:ascii="Times New Roman" w:hAnsi="Times New Roman" w:eastAsia="宋体" w:cs="Times New Roman"/>
          <w:b w:val="0"/>
          <w:bCs/>
          <w:sz w:val="24"/>
          <w:szCs w:val="20"/>
          <w:lang w:val="en-US" w:eastAsia="zh-CN" w:bidi="ar-SA"/>
        </w:rPr>
        <w:t>各</w:t>
      </w:r>
      <w:r>
        <w:rPr>
          <w:rFonts w:hint="eastAsia" w:ascii="Times New Roman" w:eastAsia="宋体" w:cs="Times New Roman"/>
          <w:b w:val="0"/>
          <w:bCs/>
          <w:sz w:val="24"/>
          <w:szCs w:val="20"/>
          <w:lang w:val="en-US" w:eastAsia="zh-CN" w:bidi="ar-SA"/>
        </w:rPr>
        <w:t>畜禽</w:t>
      </w:r>
      <w:r>
        <w:rPr>
          <w:rFonts w:hint="eastAsia" w:ascii="Times New Roman" w:hAnsi="Times New Roman" w:eastAsia="宋体" w:cs="Times New Roman"/>
          <w:b w:val="0"/>
          <w:bCs/>
          <w:sz w:val="24"/>
          <w:szCs w:val="20"/>
          <w:lang w:val="en-US" w:eastAsia="zh-CN" w:bidi="ar-SA"/>
        </w:rPr>
        <w:t>养殖场要</w:t>
      </w:r>
      <w:r>
        <w:rPr>
          <w:rFonts w:hint="default" w:ascii="Times New Roman" w:hAnsi="Times New Roman" w:eastAsia="宋体" w:cs="Times New Roman"/>
          <w:b w:val="0"/>
          <w:bCs/>
          <w:sz w:val="24"/>
          <w:szCs w:val="20"/>
          <w:lang w:val="en-US" w:eastAsia="zh-CN" w:bidi="ar-SA"/>
        </w:rPr>
        <w:t>承担畜禽粪污收集处理利用和污染防治的主体责任，主动履行畜禽养殖污染防治义务，</w:t>
      </w:r>
      <w:r>
        <w:rPr>
          <w:rFonts w:hint="eastAsia" w:ascii="Times New Roman" w:hAnsi="Times New Roman" w:eastAsia="宋体" w:cs="Times New Roman"/>
          <w:b w:val="0"/>
          <w:bCs/>
          <w:sz w:val="24"/>
          <w:szCs w:val="20"/>
          <w:lang w:val="en-US" w:eastAsia="zh-CN" w:bidi="ar-SA"/>
        </w:rPr>
        <w:t>实行数字化管理，主动安装摄像头，全覆盖粪污处理关键环节，并将信息时时推送至县畜牧发展中心、镇人民政府，主动接受各级政府监管</w:t>
      </w:r>
      <w:r>
        <w:rPr>
          <w:rFonts w:hint="default" w:ascii="Times New Roman" w:hAnsi="Times New Roman" w:eastAsia="宋体" w:cs="Times New Roman"/>
          <w:b w:val="0"/>
          <w:bCs/>
          <w:sz w:val="24"/>
          <w:szCs w:val="20"/>
          <w:lang w:val="en-US" w:eastAsia="zh-CN" w:bidi="ar-SA"/>
        </w:rPr>
        <w:t>。配建与养殖规模相匹配的粪污处理设施并确保其正常运行，定期检查，发现沼气池等设施设备损毁的要立即修复，不得乱堆乱放、偷排漏排、直排外排、污染环境。按照减量化、资源化、无害化的原则，从源头控制，用技术处理粪污，通过粪肥还田、制取沼气、制造有机肥等方式提高畜禽养殖粪污的资源化利用率。</w:t>
      </w:r>
    </w:p>
    <w:p w14:paraId="5B08F43A">
      <w:pPr>
        <w:pStyle w:val="11"/>
        <w:pageBreakBefore w:val="0"/>
        <w:widowControl w:val="0"/>
        <w:kinsoku/>
        <w:bidi w:val="0"/>
        <w:spacing w:before="0" w:beforeAutospacing="0" w:after="0" w:afterAutospacing="0"/>
        <w:ind w:left="0"/>
      </w:pPr>
      <w:bookmarkStart w:id="101" w:name="_Toc3392"/>
      <w:r>
        <w:t>强化水源地运维管理</w:t>
      </w:r>
      <w:bookmarkEnd w:id="101"/>
    </w:p>
    <w:p w14:paraId="14378A19">
      <w:pPr>
        <w:pageBreakBefore w:val="0"/>
        <w:widowControl w:val="0"/>
        <w:kinsoku/>
        <w:bidi w:val="0"/>
        <w:spacing w:beforeAutospacing="0" w:afterAutospacing="0"/>
        <w:ind w:left="0" w:firstLine="480"/>
        <w:rPr>
          <w:rFonts w:ascii="Times New Roman"/>
        </w:rPr>
      </w:pPr>
      <w:r>
        <w:rPr>
          <w:rFonts w:ascii="Times New Roman"/>
        </w:rPr>
        <w:t>工作内容包括外源整治及内源消除</w:t>
      </w:r>
      <w:r>
        <w:rPr>
          <w:rFonts w:hint="eastAsia" w:ascii="Times New Roman"/>
          <w:lang w:val="en-US" w:eastAsia="zh-CN"/>
        </w:rPr>
        <w:t>整治</w:t>
      </w:r>
      <w:r>
        <w:rPr>
          <w:rFonts w:ascii="Times New Roman"/>
        </w:rPr>
        <w:t>措施的后期维护和管理，必须定员定岗及落实运维资金。</w:t>
      </w:r>
    </w:p>
    <w:p w14:paraId="3331B87C">
      <w:pPr>
        <w:pageBreakBefore w:val="0"/>
        <w:widowControl w:val="0"/>
        <w:kinsoku/>
        <w:bidi w:val="0"/>
        <w:spacing w:beforeAutospacing="0" w:afterAutospacing="0"/>
        <w:ind w:left="0" w:firstLine="480"/>
        <w:rPr>
          <w:rFonts w:ascii="Times New Roman"/>
        </w:rPr>
      </w:pPr>
      <w:r>
        <w:rPr>
          <w:rFonts w:ascii="Times New Roman"/>
        </w:rPr>
        <w:t>强化水源保护宣传。</w:t>
      </w:r>
      <w:r>
        <w:rPr>
          <w:rFonts w:hint="eastAsia" w:ascii="Times New Roman"/>
          <w:lang w:val="en-US" w:eastAsia="zh-CN"/>
        </w:rPr>
        <w:t>云阳县</w:t>
      </w:r>
      <w:r>
        <w:rPr>
          <w:rFonts w:ascii="Times New Roman"/>
        </w:rPr>
        <w:t>生态环境局和</w:t>
      </w:r>
      <w:r>
        <w:rPr>
          <w:rFonts w:hint="eastAsia" w:ascii="Times New Roman"/>
          <w:lang w:val="en-US" w:eastAsia="zh-CN"/>
        </w:rPr>
        <w:t>云阳县黄石</w:t>
      </w:r>
      <w:r>
        <w:rPr>
          <w:rFonts w:ascii="Times New Roman"/>
        </w:rPr>
        <w:t>镇人民政府负责利用标语、宣传单等方式进一步加强对</w:t>
      </w:r>
      <w:r>
        <w:rPr>
          <w:rFonts w:hint="eastAsia" w:ascii="Times New Roman"/>
          <w:lang w:eastAsia="zh-CN"/>
        </w:rPr>
        <w:t>地表水</w:t>
      </w:r>
      <w:r>
        <w:rPr>
          <w:rFonts w:ascii="Times New Roman"/>
        </w:rPr>
        <w:t>周边居民的宣传教育，切实提高人民群众对保护饮用水源重要性的认识，增强人民群众保护饮用水源的自觉性，营造全社会齐抓共管保护饮用水源的良好氛围。</w:t>
      </w:r>
    </w:p>
    <w:p w14:paraId="4A7A9856">
      <w:pPr>
        <w:pageBreakBefore w:val="0"/>
        <w:widowControl w:val="0"/>
        <w:kinsoku/>
        <w:bidi w:val="0"/>
        <w:spacing w:beforeAutospacing="0" w:afterAutospacing="0"/>
        <w:ind w:left="0" w:firstLine="480"/>
        <w:rPr>
          <w:rFonts w:ascii="Times New Roman"/>
        </w:rPr>
      </w:pPr>
      <w:r>
        <w:rPr>
          <w:rFonts w:ascii="Times New Roman"/>
        </w:rPr>
        <w:t>强化农业日常监管。强化农业环境和农产品质量的监测，有效控制源头污染</w:t>
      </w:r>
      <w:r>
        <w:rPr>
          <w:rFonts w:hint="eastAsia" w:ascii="Times New Roman"/>
          <w:lang w:eastAsia="zh-CN"/>
        </w:rPr>
        <w:t>；</w:t>
      </w:r>
      <w:r>
        <w:rPr>
          <w:rFonts w:ascii="Times New Roman"/>
        </w:rPr>
        <w:t>督促农民合理使用化肥农药，多施有机肥，及时回收废弃农膜；开展测土配方施肥，减小化肥使用增施有机肥；规范畜禽养殖方式，要求周围村民对自家的畜禽一律圈养，不得散养。</w:t>
      </w:r>
    </w:p>
    <w:p w14:paraId="3B8F6DA0">
      <w:pPr>
        <w:pageBreakBefore w:val="0"/>
        <w:widowControl w:val="0"/>
        <w:kinsoku/>
        <w:bidi w:val="0"/>
        <w:spacing w:beforeAutospacing="0" w:afterAutospacing="0"/>
        <w:ind w:left="0" w:firstLine="480"/>
        <w:rPr>
          <w:rFonts w:ascii="Times New Roman"/>
        </w:rPr>
      </w:pPr>
      <w:r>
        <w:rPr>
          <w:rFonts w:ascii="Times New Roman"/>
        </w:rPr>
        <w:t>落实日常巡查制度。落实专人实行</w:t>
      </w:r>
      <w:r>
        <w:rPr>
          <w:rFonts w:hint="eastAsia" w:ascii="Times New Roman"/>
          <w:lang w:val="en-US" w:eastAsia="zh-CN"/>
        </w:rPr>
        <w:t>定期</w:t>
      </w:r>
      <w:r>
        <w:rPr>
          <w:rFonts w:ascii="Times New Roman"/>
        </w:rPr>
        <w:t>巡查制度，节假日、汛期等特殊时段加密值班巡查，并作好巡查记录，建立巡查台帐。禁止在水源保护区内养殖、游泳、垂钓等其他可能污染水体的活动。发现问题及时报告、及时处理，对于乡镇政府不能处理和解决的事项及时书面报告相关部门，同时积极落实整改完善措施。</w:t>
      </w:r>
    </w:p>
    <w:p w14:paraId="321A1077">
      <w:pPr>
        <w:pageBreakBefore w:val="0"/>
        <w:widowControl w:val="0"/>
        <w:kinsoku/>
        <w:bidi w:val="0"/>
        <w:spacing w:beforeAutospacing="0" w:afterAutospacing="0"/>
        <w:ind w:left="0" w:firstLine="480"/>
        <w:rPr>
          <w:rFonts w:hAnsi="宋体" w:cs="宋体"/>
          <w:szCs w:val="24"/>
        </w:rPr>
      </w:pPr>
      <w:r>
        <w:rPr>
          <w:rFonts w:ascii="Times New Roman"/>
        </w:rPr>
        <w:t>加强</w:t>
      </w:r>
      <w:r>
        <w:rPr>
          <w:rFonts w:hint="eastAsia" w:ascii="Times New Roman"/>
        </w:rPr>
        <w:t>地</w:t>
      </w:r>
      <w:r>
        <w:rPr>
          <w:rFonts w:hint="eastAsia" w:ascii="Times New Roman"/>
          <w:lang w:val="en-US" w:eastAsia="zh-CN"/>
        </w:rPr>
        <w:t>表</w:t>
      </w:r>
      <w:r>
        <w:rPr>
          <w:rFonts w:hint="eastAsia" w:ascii="Times New Roman"/>
        </w:rPr>
        <w:t>水</w:t>
      </w:r>
      <w:r>
        <w:rPr>
          <w:rFonts w:ascii="Times New Roman"/>
        </w:rPr>
        <w:t>环境卫生管理。加强</w:t>
      </w:r>
      <w:r>
        <w:rPr>
          <w:rFonts w:hint="eastAsia" w:ascii="Times New Roman"/>
          <w:lang w:val="en-US" w:eastAsia="zh-CN"/>
        </w:rPr>
        <w:t>饮用水源地</w:t>
      </w:r>
      <w:r>
        <w:rPr>
          <w:rFonts w:hint="eastAsia" w:ascii="Times New Roman"/>
        </w:rPr>
        <w:t>一级保护范围</w:t>
      </w:r>
      <w:r>
        <w:rPr>
          <w:rFonts w:ascii="Times New Roman"/>
        </w:rPr>
        <w:t>及</w:t>
      </w:r>
      <w:r>
        <w:rPr>
          <w:rFonts w:hint="eastAsia" w:ascii="Times New Roman"/>
          <w:lang w:val="en-US" w:eastAsia="zh-CN"/>
        </w:rPr>
        <w:t>取水口</w:t>
      </w:r>
      <w:r>
        <w:rPr>
          <w:rFonts w:ascii="Times New Roman"/>
        </w:rPr>
        <w:t>环境卫生综合整治。安排专人</w:t>
      </w:r>
      <w:r>
        <w:rPr>
          <w:rFonts w:hint="eastAsia" w:ascii="Times New Roman"/>
          <w:lang w:val="en-US" w:eastAsia="zh-CN"/>
        </w:rPr>
        <w:t>定期</w:t>
      </w:r>
      <w:r>
        <w:rPr>
          <w:rFonts w:ascii="Times New Roman"/>
        </w:rPr>
        <w:t>对</w:t>
      </w:r>
      <w:r>
        <w:rPr>
          <w:rFonts w:hint="eastAsia" w:ascii="Times New Roman"/>
          <w:lang w:val="en-US" w:eastAsia="zh-CN"/>
        </w:rPr>
        <w:t>水源地沿</w:t>
      </w:r>
      <w:r>
        <w:rPr>
          <w:rFonts w:ascii="Times New Roman"/>
        </w:rPr>
        <w:t>岸白色垃圾收集清理，确保垃圾</w:t>
      </w:r>
      <w:r>
        <w:rPr>
          <w:rFonts w:hint="eastAsia" w:ascii="Times New Roman"/>
          <w:lang w:val="en-US" w:eastAsia="zh-CN"/>
        </w:rPr>
        <w:t>不</w:t>
      </w:r>
      <w:r>
        <w:rPr>
          <w:rFonts w:hint="eastAsia" w:ascii="Times New Roman"/>
        </w:rPr>
        <w:t>进入一级保护区</w:t>
      </w:r>
      <w:r>
        <w:rPr>
          <w:rFonts w:ascii="Times New Roman"/>
        </w:rPr>
        <w:t>，确保</w:t>
      </w:r>
      <w:r>
        <w:rPr>
          <w:rFonts w:hint="eastAsia" w:ascii="Times New Roman"/>
          <w:lang w:val="en-US" w:eastAsia="zh-CN"/>
        </w:rPr>
        <w:t>饮用水源地</w:t>
      </w:r>
      <w:r>
        <w:rPr>
          <w:rFonts w:hint="eastAsia" w:ascii="Times New Roman"/>
        </w:rPr>
        <w:t>周边没有落叶</w:t>
      </w:r>
      <w:r>
        <w:rPr>
          <w:rFonts w:ascii="Times New Roman"/>
        </w:rPr>
        <w:t>，环境整洁。</w:t>
      </w:r>
    </w:p>
    <w:p w14:paraId="4688DEFB">
      <w:pPr>
        <w:pStyle w:val="9"/>
        <w:pageBreakBefore w:val="0"/>
        <w:widowControl w:val="0"/>
        <w:kinsoku/>
        <w:bidi w:val="0"/>
        <w:spacing w:before="0" w:beforeAutospacing="0" w:after="0" w:afterAutospacing="0"/>
        <w:ind w:left="0"/>
      </w:pPr>
      <w:bookmarkStart w:id="102" w:name="_Toc25567"/>
      <w:bookmarkStart w:id="103" w:name="_Toc38391158"/>
      <w:bookmarkStart w:id="104" w:name="_Toc43925491"/>
      <w:r>
        <w:rPr>
          <w:rFonts w:hint="eastAsia"/>
        </w:rPr>
        <w:t>效益分析</w:t>
      </w:r>
      <w:bookmarkEnd w:id="102"/>
      <w:bookmarkEnd w:id="103"/>
      <w:bookmarkEnd w:id="104"/>
    </w:p>
    <w:p w14:paraId="55997B75">
      <w:pPr>
        <w:pStyle w:val="11"/>
        <w:pageBreakBefore w:val="0"/>
        <w:widowControl w:val="0"/>
        <w:kinsoku/>
        <w:bidi w:val="0"/>
        <w:spacing w:before="0" w:beforeAutospacing="0" w:after="0" w:afterAutospacing="0"/>
        <w:ind w:left="0"/>
        <w:rPr>
          <w:rFonts w:ascii="Times New Roman" w:hAnsi="Times New Roman" w:eastAsia="宋体" w:cs="Times New Roman"/>
        </w:rPr>
      </w:pPr>
      <w:bookmarkStart w:id="105" w:name="_Toc38391161"/>
      <w:bookmarkStart w:id="106" w:name="_Toc43925496"/>
      <w:bookmarkStart w:id="107" w:name="_Toc7806"/>
      <w:r>
        <w:rPr>
          <w:rFonts w:ascii="Times New Roman" w:hAnsi="Times New Roman" w:eastAsia="宋体" w:cs="Times New Roman"/>
        </w:rPr>
        <w:t>环境效益</w:t>
      </w:r>
      <w:bookmarkEnd w:id="105"/>
      <w:bookmarkEnd w:id="106"/>
      <w:bookmarkEnd w:id="107"/>
    </w:p>
    <w:p w14:paraId="4EFB391D">
      <w:pPr>
        <w:pageBreakBefore w:val="0"/>
        <w:widowControl w:val="0"/>
        <w:kinsoku/>
        <w:bidi w:val="0"/>
        <w:spacing w:beforeAutospacing="0" w:afterAutospacing="0"/>
        <w:ind w:left="0" w:firstLine="480"/>
        <w:rPr>
          <w:rFonts w:ascii="Times New Roman"/>
        </w:rPr>
      </w:pPr>
      <w:r>
        <w:rPr>
          <w:rFonts w:hint="eastAsia" w:ascii="Times New Roman"/>
          <w:lang w:eastAsia="zh-CN"/>
        </w:rPr>
        <w:t>黄石镇铁炉沟集中式饮用水水源地</w:t>
      </w:r>
      <w:r>
        <w:rPr>
          <w:rFonts w:ascii="Times New Roman"/>
        </w:rPr>
        <w:t>水质达标整治</w:t>
      </w:r>
      <w:r>
        <w:rPr>
          <w:rFonts w:hint="eastAsia" w:ascii="Times New Roman"/>
          <w:lang w:eastAsia="zh-CN"/>
        </w:rPr>
        <w:t>措施</w:t>
      </w:r>
      <w:r>
        <w:rPr>
          <w:rFonts w:ascii="Times New Roman"/>
        </w:rPr>
        <w:t>实施以后，产生的生态环境效益是最主要的效益，也是最直接的效益。可实现改善</w:t>
      </w:r>
      <w:r>
        <w:rPr>
          <w:rFonts w:hint="eastAsia" w:ascii="Times New Roman"/>
          <w:lang w:eastAsia="zh-CN"/>
        </w:rPr>
        <w:t>黄石镇铁炉沟集中式饮用水水源地</w:t>
      </w:r>
      <w:r>
        <w:rPr>
          <w:rFonts w:ascii="Times New Roman"/>
        </w:rPr>
        <w:t>水质、保护和改善</w:t>
      </w:r>
      <w:r>
        <w:rPr>
          <w:rFonts w:hint="eastAsia" w:ascii="Times New Roman"/>
          <w:lang w:val="en-US" w:eastAsia="zh-CN"/>
        </w:rPr>
        <w:t>饮用水源地</w:t>
      </w:r>
      <w:r>
        <w:rPr>
          <w:rFonts w:ascii="Times New Roman"/>
        </w:rPr>
        <w:t>生态系统、削减污染物排放负荷、促进水土保持等，实现预期目标。生活垃圾清运，减少了</w:t>
      </w:r>
      <w:r>
        <w:rPr>
          <w:rFonts w:hint="eastAsia" w:ascii="Times New Roman"/>
        </w:rPr>
        <w:t>水源地</w:t>
      </w:r>
      <w:r>
        <w:rPr>
          <w:rFonts w:ascii="Times New Roman"/>
        </w:rPr>
        <w:t>垃圾污染风险，改善周边环境及景观，减少了污染来源；各</w:t>
      </w:r>
      <w:r>
        <w:rPr>
          <w:rFonts w:hint="eastAsia" w:ascii="Times New Roman"/>
          <w:lang w:val="en-US" w:eastAsia="zh-CN"/>
        </w:rPr>
        <w:t>整治</w:t>
      </w:r>
      <w:r>
        <w:rPr>
          <w:rFonts w:ascii="Times New Roman"/>
        </w:rPr>
        <w:t>措施的实施，使</w:t>
      </w:r>
      <w:r>
        <w:rPr>
          <w:rFonts w:hint="eastAsia" w:ascii="Times New Roman"/>
          <w:lang w:eastAsia="zh-CN"/>
        </w:rPr>
        <w:t>黄石镇铁炉沟集中式饮用水水源地</w:t>
      </w:r>
      <w:r>
        <w:rPr>
          <w:rFonts w:ascii="Times New Roman"/>
        </w:rPr>
        <w:t>水质达到III类标准，保持</w:t>
      </w:r>
      <w:r>
        <w:rPr>
          <w:rFonts w:hint="eastAsia" w:ascii="Times New Roman"/>
        </w:rPr>
        <w:t>水源地</w:t>
      </w:r>
      <w:r>
        <w:rPr>
          <w:rFonts w:ascii="Times New Roman"/>
        </w:rPr>
        <w:t>生态环境健康。</w:t>
      </w:r>
    </w:p>
    <w:p w14:paraId="444A2CA1">
      <w:pPr>
        <w:pStyle w:val="11"/>
        <w:pageBreakBefore w:val="0"/>
        <w:widowControl w:val="0"/>
        <w:kinsoku/>
        <w:bidi w:val="0"/>
        <w:spacing w:before="0" w:beforeAutospacing="0" w:after="0" w:afterAutospacing="0"/>
        <w:ind w:left="0"/>
        <w:rPr>
          <w:rFonts w:ascii="Times New Roman" w:hAnsi="Times New Roman" w:eastAsia="宋体" w:cs="Times New Roman"/>
        </w:rPr>
      </w:pPr>
      <w:bookmarkStart w:id="108" w:name="_Toc43925497"/>
      <w:bookmarkStart w:id="109" w:name="_Toc9635"/>
      <w:bookmarkStart w:id="110" w:name="_Toc38391162"/>
      <w:r>
        <w:rPr>
          <w:rFonts w:ascii="Times New Roman" w:hAnsi="Times New Roman" w:eastAsia="宋体" w:cs="Times New Roman"/>
        </w:rPr>
        <w:t>社会效益</w:t>
      </w:r>
      <w:bookmarkEnd w:id="108"/>
      <w:bookmarkEnd w:id="109"/>
      <w:bookmarkEnd w:id="110"/>
    </w:p>
    <w:p w14:paraId="18824F7C">
      <w:pPr>
        <w:pageBreakBefore w:val="0"/>
        <w:widowControl w:val="0"/>
        <w:kinsoku/>
        <w:bidi w:val="0"/>
        <w:spacing w:beforeAutospacing="0" w:afterAutospacing="0"/>
        <w:ind w:left="0" w:firstLine="480"/>
        <w:rPr>
          <w:rFonts w:ascii="Times New Roman"/>
        </w:rPr>
      </w:pPr>
      <w:r>
        <w:rPr>
          <w:rFonts w:ascii="Times New Roman"/>
        </w:rPr>
        <w:t>通过</w:t>
      </w:r>
      <w:r>
        <w:rPr>
          <w:rFonts w:hint="eastAsia" w:ascii="Times New Roman"/>
          <w:lang w:eastAsia="zh-CN"/>
        </w:rPr>
        <w:t>黄石镇铁炉沟集中式饮用水水源地</w:t>
      </w:r>
      <w:r>
        <w:rPr>
          <w:rFonts w:ascii="Times New Roman"/>
        </w:rPr>
        <w:t>水环境保护</w:t>
      </w:r>
      <w:r>
        <w:rPr>
          <w:rFonts w:hint="eastAsia" w:ascii="Times New Roman"/>
          <w:lang w:eastAsia="zh-CN"/>
        </w:rPr>
        <w:t>措施</w:t>
      </w:r>
      <w:r>
        <w:rPr>
          <w:rFonts w:ascii="Times New Roman"/>
        </w:rPr>
        <w:t>可以提高</w:t>
      </w:r>
      <w:r>
        <w:rPr>
          <w:rFonts w:hint="eastAsia" w:ascii="Times New Roman"/>
          <w:lang w:eastAsia="zh-CN"/>
        </w:rPr>
        <w:t>黄石镇铁炉沟集中式饮用水水源地</w:t>
      </w:r>
      <w:r>
        <w:rPr>
          <w:rFonts w:ascii="Times New Roman"/>
        </w:rPr>
        <w:t>附近的生态环境，提高</w:t>
      </w:r>
      <w:r>
        <w:rPr>
          <w:rFonts w:hint="eastAsia" w:ascii="Times New Roman"/>
          <w:lang w:eastAsia="zh-CN"/>
        </w:rPr>
        <w:t>饮用水源地</w:t>
      </w:r>
      <w:r>
        <w:rPr>
          <w:rFonts w:ascii="Times New Roman"/>
        </w:rPr>
        <w:t>水质，从而带来可观的社会效益：</w:t>
      </w:r>
    </w:p>
    <w:p w14:paraId="6E7D90BF">
      <w:pPr>
        <w:pageBreakBefore w:val="0"/>
        <w:widowControl w:val="0"/>
        <w:kinsoku/>
        <w:bidi w:val="0"/>
        <w:spacing w:beforeAutospacing="0" w:afterAutospacing="0"/>
        <w:ind w:left="0" w:firstLine="480"/>
        <w:rPr>
          <w:rFonts w:ascii="Times New Roman"/>
        </w:rPr>
      </w:pPr>
      <w:r>
        <w:rPr>
          <w:rFonts w:ascii="Times New Roman"/>
        </w:rPr>
        <w:t>（1）有利于提高周边居民的身体健康水平；</w:t>
      </w:r>
    </w:p>
    <w:p w14:paraId="5B15640D">
      <w:pPr>
        <w:pageBreakBefore w:val="0"/>
        <w:widowControl w:val="0"/>
        <w:kinsoku/>
        <w:bidi w:val="0"/>
        <w:spacing w:beforeAutospacing="0" w:afterAutospacing="0"/>
        <w:ind w:left="0" w:firstLine="480"/>
        <w:rPr>
          <w:rFonts w:ascii="Times New Roman"/>
        </w:rPr>
      </w:pPr>
      <w:r>
        <w:rPr>
          <w:rFonts w:ascii="Times New Roman"/>
        </w:rPr>
        <w:t>（2）保护</w:t>
      </w:r>
      <w:r>
        <w:rPr>
          <w:rFonts w:hint="eastAsia" w:ascii="Times New Roman"/>
          <w:lang w:eastAsia="zh-CN"/>
        </w:rPr>
        <w:t>黄石镇铁炉沟集中式饮用水水源地</w:t>
      </w:r>
      <w:r>
        <w:rPr>
          <w:rFonts w:ascii="Times New Roman"/>
        </w:rPr>
        <w:t>水环境的过程是物质文明与精神文明的建设过程，提高附近村民的环境</w:t>
      </w:r>
      <w:r>
        <w:rPr>
          <w:rFonts w:hint="eastAsia" w:ascii="Times New Roman"/>
          <w:lang w:eastAsia="zh-CN"/>
        </w:rPr>
        <w:t>保护</w:t>
      </w:r>
      <w:r>
        <w:rPr>
          <w:rFonts w:ascii="Times New Roman"/>
        </w:rPr>
        <w:t>意识，形成良好的环境行为。</w:t>
      </w:r>
    </w:p>
    <w:p w14:paraId="3D4084BC">
      <w:pPr>
        <w:pStyle w:val="11"/>
        <w:pageBreakBefore w:val="0"/>
        <w:widowControl w:val="0"/>
        <w:kinsoku/>
        <w:bidi w:val="0"/>
        <w:spacing w:before="0" w:beforeAutospacing="0" w:after="0" w:afterAutospacing="0"/>
        <w:ind w:left="0"/>
        <w:rPr>
          <w:rFonts w:ascii="Times New Roman" w:hAnsi="Times New Roman" w:eastAsia="宋体" w:cs="Times New Roman"/>
        </w:rPr>
      </w:pPr>
      <w:bookmarkStart w:id="111" w:name="_Toc43925498"/>
      <w:bookmarkStart w:id="112" w:name="_Toc1061"/>
      <w:bookmarkStart w:id="113" w:name="_Toc38391163"/>
      <w:r>
        <w:rPr>
          <w:rFonts w:ascii="Times New Roman" w:hAnsi="Times New Roman" w:eastAsia="宋体" w:cs="Times New Roman"/>
        </w:rPr>
        <w:t>经济效益</w:t>
      </w:r>
      <w:bookmarkEnd w:id="111"/>
      <w:bookmarkEnd w:id="112"/>
      <w:bookmarkEnd w:id="113"/>
    </w:p>
    <w:p w14:paraId="046C8C5D">
      <w:pPr>
        <w:pageBreakBefore w:val="0"/>
        <w:widowControl w:val="0"/>
        <w:kinsoku/>
        <w:bidi w:val="0"/>
        <w:spacing w:beforeAutospacing="0" w:afterAutospacing="0"/>
        <w:ind w:left="0" w:firstLine="480"/>
        <w:rPr>
          <w:rFonts w:ascii="Times New Roman"/>
        </w:rPr>
      </w:pPr>
      <w:r>
        <w:rPr>
          <w:rFonts w:hint="eastAsia" w:ascii="Times New Roman"/>
          <w:lang w:eastAsia="zh-CN"/>
        </w:rPr>
        <w:t>黄石镇铁炉沟集中式饮用水水源地</w:t>
      </w:r>
      <w:r>
        <w:rPr>
          <w:rFonts w:ascii="Times New Roman"/>
        </w:rPr>
        <w:t>水环境保护带来的不是直接经济效益，而是间接效益。</w:t>
      </w:r>
    </w:p>
    <w:p w14:paraId="309D3796">
      <w:pPr>
        <w:pageBreakBefore w:val="0"/>
        <w:widowControl w:val="0"/>
        <w:kinsoku/>
        <w:bidi w:val="0"/>
        <w:spacing w:beforeAutospacing="0" w:afterAutospacing="0"/>
        <w:ind w:left="0" w:firstLine="480"/>
        <w:rPr>
          <w:rFonts w:ascii="Times New Roman"/>
        </w:rPr>
      </w:pPr>
      <w:r>
        <w:rPr>
          <w:rFonts w:ascii="Times New Roman"/>
        </w:rPr>
        <w:t>水资源是一种十分重要、有限的自然资源，一般可以通过水资源成本分析来计算水质保持带来的经济效益（水资源的机会成本：由于水资源受到污染或其它原因，不能发挥其资源特性用途时所牺牲的效益或造成的损失）。通过本方案的实施，将有效控制</w:t>
      </w:r>
      <w:r>
        <w:rPr>
          <w:rFonts w:hint="eastAsia" w:ascii="Times New Roman"/>
          <w:lang w:eastAsia="zh-CN"/>
        </w:rPr>
        <w:t>黄石镇铁炉沟集中式饮用水水源地</w:t>
      </w:r>
      <w:r>
        <w:rPr>
          <w:rFonts w:ascii="Times New Roman"/>
        </w:rPr>
        <w:t>的水环境污染，稳定保持</w:t>
      </w:r>
      <w:r>
        <w:rPr>
          <w:rFonts w:hint="eastAsia" w:ascii="Times New Roman"/>
          <w:lang w:eastAsia="zh-CN"/>
        </w:rPr>
        <w:t>黄石镇铁炉沟集中式饮用水水源地</w:t>
      </w:r>
      <w:r>
        <w:rPr>
          <w:rFonts w:ascii="Times New Roman"/>
        </w:rPr>
        <w:t>的III类水体水质，大大降低或消除水污染造成的经济损失的风险，充分实现水资源价值，促进社会经济快速发展。</w:t>
      </w:r>
    </w:p>
    <w:sectPr>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D639">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63FC">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75E2">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692201"/>
    </w:sdtPr>
    <w:sdtContent>
      <w:p w14:paraId="7D1A17EF">
        <w:pPr>
          <w:pStyle w:val="21"/>
          <w:ind w:firstLine="0" w:firstLineChars="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196949"/>
    </w:sdtPr>
    <w:sdtContent>
      <w:p w14:paraId="57F1A95B">
        <w:pPr>
          <w:pStyle w:val="21"/>
          <w:ind w:firstLine="0" w:firstLineChars="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43</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97E9">
    <w:pPr>
      <w:pStyle w:val="2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33A4">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4BB76">
    <w:pPr>
      <w:pStyle w:val="2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B4CB">
    <w:pPr>
      <w:pStyle w:val="22"/>
      <w:rPr>
        <w:rFonts w:hint="eastAsia"/>
        <w:sz w:val="24"/>
      </w:rPr>
    </w:pPr>
    <w:r>
      <w:rPr>
        <w:rFonts w:hint="eastAsia"/>
        <w:sz w:val="24"/>
      </w:rPr>
      <w:t>重庆市云阳县</w:t>
    </w:r>
    <w:r>
      <w:rPr>
        <w:rFonts w:hint="eastAsia"/>
        <w:sz w:val="24"/>
        <w:lang w:eastAsia="zh-CN"/>
      </w:rPr>
      <w:t>黄石</w:t>
    </w:r>
    <w:r>
      <w:rPr>
        <w:rFonts w:hint="eastAsia"/>
        <w:sz w:val="24"/>
      </w:rPr>
      <w:t>镇</w:t>
    </w:r>
    <w:r>
      <w:rPr>
        <w:rFonts w:hint="eastAsia"/>
        <w:sz w:val="24"/>
        <w:lang w:eastAsia="zh-CN"/>
      </w:rPr>
      <w:t>铁炉沟水源地</w:t>
    </w:r>
    <w:r>
      <w:rPr>
        <w:rFonts w:hint="eastAsia"/>
        <w:sz w:val="24"/>
      </w:rPr>
      <w:t>水质达标整治方案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nothing"/>
      <w:lvlText w:val="%1.1"/>
      <w:lvlJc w:val="left"/>
      <w:pPr>
        <w:ind w:left="0" w:firstLine="0"/>
      </w:pPr>
    </w:lvl>
    <w:lvl w:ilvl="1" w:tentative="0">
      <w:start w:val="1"/>
      <w:numFmt w:val="decimal"/>
      <w:suff w:val="nothing"/>
      <w:lvlText w:val="%2.1"/>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3"/>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385F45B6"/>
    <w:multiLevelType w:val="multilevel"/>
    <w:tmpl w:val="385F45B6"/>
    <w:lvl w:ilvl="0" w:tentative="0">
      <w:start w:val="1"/>
      <w:numFmt w:val="decimal"/>
      <w:pStyle w:val="9"/>
      <w:suff w:val="space"/>
      <w:lvlText w:val="%1"/>
      <w:lvlJc w:val="left"/>
      <w:pPr>
        <w:ind w:left="425" w:hanging="425"/>
      </w:pPr>
      <w:rPr>
        <w:rFonts w:hint="eastAsia"/>
      </w:rPr>
    </w:lvl>
    <w:lvl w:ilvl="1" w:tentative="0">
      <w:start w:val="1"/>
      <w:numFmt w:val="decimal"/>
      <w:pStyle w:val="11"/>
      <w:suff w:val="space"/>
      <w:lvlText w:val="%1.%2"/>
      <w:lvlJc w:val="left"/>
      <w:pPr>
        <w:ind w:left="992" w:hanging="992"/>
      </w:pPr>
      <w:rPr>
        <w:rFonts w:hint="eastAsia"/>
      </w:rPr>
    </w:lvl>
    <w:lvl w:ilvl="2" w:tentative="0">
      <w:start w:val="1"/>
      <w:numFmt w:val="decimal"/>
      <w:pStyle w:val="10"/>
      <w:suff w:val="space"/>
      <w:lvlText w:val="%1.%2.%3"/>
      <w:lvlJc w:val="left"/>
      <w:pPr>
        <w:ind w:left="3970" w:hanging="1418"/>
      </w:pPr>
      <w:rPr>
        <w:rFonts w:hint="eastAsia"/>
      </w:rPr>
    </w:lvl>
    <w:lvl w:ilvl="3" w:tentative="0">
      <w:start w:val="1"/>
      <w:numFmt w:val="decimal"/>
      <w:pStyle w:val="12"/>
      <w:suff w:val="space"/>
      <w:lvlText w:val="%1.%2.%3.%4"/>
      <w:lvlJc w:val="left"/>
      <w:pPr>
        <w:ind w:left="1984" w:hanging="1984"/>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zllMDQ1ZDJlNmRiZDA1OTQyMjQ0YjNjN2YyNTEifQ=="/>
  </w:docVars>
  <w:rsids>
    <w:rsidRoot w:val="001E2372"/>
    <w:rsid w:val="0002381D"/>
    <w:rsid w:val="00071F79"/>
    <w:rsid w:val="000C24E6"/>
    <w:rsid w:val="001313FB"/>
    <w:rsid w:val="001827EB"/>
    <w:rsid w:val="001E2372"/>
    <w:rsid w:val="00216005"/>
    <w:rsid w:val="002745B6"/>
    <w:rsid w:val="004B58C6"/>
    <w:rsid w:val="004E5485"/>
    <w:rsid w:val="005506F8"/>
    <w:rsid w:val="006216C8"/>
    <w:rsid w:val="00650595"/>
    <w:rsid w:val="00A566D5"/>
    <w:rsid w:val="00BA44BA"/>
    <w:rsid w:val="00BB416B"/>
    <w:rsid w:val="00BF08FD"/>
    <w:rsid w:val="00CA7F22"/>
    <w:rsid w:val="00D6253E"/>
    <w:rsid w:val="00DF468C"/>
    <w:rsid w:val="00E21520"/>
    <w:rsid w:val="00E5525D"/>
    <w:rsid w:val="00F221A2"/>
    <w:rsid w:val="00F223A3"/>
    <w:rsid w:val="00FB2C23"/>
    <w:rsid w:val="017E2A82"/>
    <w:rsid w:val="01E17223"/>
    <w:rsid w:val="037E6C09"/>
    <w:rsid w:val="04EF23C9"/>
    <w:rsid w:val="06707F90"/>
    <w:rsid w:val="06BA0B98"/>
    <w:rsid w:val="07B003B9"/>
    <w:rsid w:val="07F912C2"/>
    <w:rsid w:val="08167EB9"/>
    <w:rsid w:val="0951668E"/>
    <w:rsid w:val="0A4A209B"/>
    <w:rsid w:val="0A763824"/>
    <w:rsid w:val="0B1810EF"/>
    <w:rsid w:val="0BCA3076"/>
    <w:rsid w:val="0BFE288F"/>
    <w:rsid w:val="0D07359F"/>
    <w:rsid w:val="0EFD36E4"/>
    <w:rsid w:val="0F100718"/>
    <w:rsid w:val="0F1E0A52"/>
    <w:rsid w:val="0FD348E1"/>
    <w:rsid w:val="0FE467C4"/>
    <w:rsid w:val="107C6D27"/>
    <w:rsid w:val="113C03CA"/>
    <w:rsid w:val="113F0054"/>
    <w:rsid w:val="120B3EBE"/>
    <w:rsid w:val="129139B5"/>
    <w:rsid w:val="134A6C68"/>
    <w:rsid w:val="13D03FA3"/>
    <w:rsid w:val="14773A8D"/>
    <w:rsid w:val="16565924"/>
    <w:rsid w:val="169A1CB5"/>
    <w:rsid w:val="16F623F7"/>
    <w:rsid w:val="17A24BE8"/>
    <w:rsid w:val="17C72AB1"/>
    <w:rsid w:val="17FC0062"/>
    <w:rsid w:val="183879D7"/>
    <w:rsid w:val="1A6E2721"/>
    <w:rsid w:val="1BBC447B"/>
    <w:rsid w:val="1C2F6E97"/>
    <w:rsid w:val="1CFA299A"/>
    <w:rsid w:val="20855764"/>
    <w:rsid w:val="20E7158C"/>
    <w:rsid w:val="224A6C0B"/>
    <w:rsid w:val="23E9343A"/>
    <w:rsid w:val="24844675"/>
    <w:rsid w:val="25F35853"/>
    <w:rsid w:val="25FE1BFC"/>
    <w:rsid w:val="26AA56A3"/>
    <w:rsid w:val="27751A8F"/>
    <w:rsid w:val="279A43A7"/>
    <w:rsid w:val="27C932AC"/>
    <w:rsid w:val="2838396C"/>
    <w:rsid w:val="29CD7843"/>
    <w:rsid w:val="2B151618"/>
    <w:rsid w:val="2BC853C6"/>
    <w:rsid w:val="2CB97EB2"/>
    <w:rsid w:val="2D9E7D40"/>
    <w:rsid w:val="2E4E6237"/>
    <w:rsid w:val="2F0671BA"/>
    <w:rsid w:val="2F084948"/>
    <w:rsid w:val="30517430"/>
    <w:rsid w:val="31FA1C8E"/>
    <w:rsid w:val="33927242"/>
    <w:rsid w:val="339E2243"/>
    <w:rsid w:val="35383BD0"/>
    <w:rsid w:val="35FC0F9C"/>
    <w:rsid w:val="37EF2844"/>
    <w:rsid w:val="38684E89"/>
    <w:rsid w:val="39C90037"/>
    <w:rsid w:val="3BAC27EF"/>
    <w:rsid w:val="3C9769BC"/>
    <w:rsid w:val="3D043B99"/>
    <w:rsid w:val="3D18555E"/>
    <w:rsid w:val="3DE05ADB"/>
    <w:rsid w:val="3FC46458"/>
    <w:rsid w:val="4015323F"/>
    <w:rsid w:val="40AE5EE6"/>
    <w:rsid w:val="40D47477"/>
    <w:rsid w:val="40DF420A"/>
    <w:rsid w:val="44A533EE"/>
    <w:rsid w:val="479C4FDD"/>
    <w:rsid w:val="4885290F"/>
    <w:rsid w:val="498D72D3"/>
    <w:rsid w:val="4AE64EED"/>
    <w:rsid w:val="4CC01E3B"/>
    <w:rsid w:val="4D4F6AB4"/>
    <w:rsid w:val="51324A04"/>
    <w:rsid w:val="52115D15"/>
    <w:rsid w:val="56FD2F6B"/>
    <w:rsid w:val="579932E7"/>
    <w:rsid w:val="598F2EE3"/>
    <w:rsid w:val="5B9B13DC"/>
    <w:rsid w:val="5D1410E4"/>
    <w:rsid w:val="5DCA645E"/>
    <w:rsid w:val="5DFE15E4"/>
    <w:rsid w:val="5EF6313B"/>
    <w:rsid w:val="62122F41"/>
    <w:rsid w:val="63462575"/>
    <w:rsid w:val="63A432C2"/>
    <w:rsid w:val="63C014D9"/>
    <w:rsid w:val="64654514"/>
    <w:rsid w:val="65BB5345"/>
    <w:rsid w:val="66A31A8D"/>
    <w:rsid w:val="66B16358"/>
    <w:rsid w:val="66F61840"/>
    <w:rsid w:val="68433E29"/>
    <w:rsid w:val="69EA352F"/>
    <w:rsid w:val="69F74723"/>
    <w:rsid w:val="6B192481"/>
    <w:rsid w:val="6B4C6371"/>
    <w:rsid w:val="6CD93C57"/>
    <w:rsid w:val="6D256790"/>
    <w:rsid w:val="6DC527AC"/>
    <w:rsid w:val="6F183B9C"/>
    <w:rsid w:val="70AE3508"/>
    <w:rsid w:val="70B52AE8"/>
    <w:rsid w:val="70FE1877"/>
    <w:rsid w:val="7164006A"/>
    <w:rsid w:val="72652C2E"/>
    <w:rsid w:val="74AB66DC"/>
    <w:rsid w:val="74BB7266"/>
    <w:rsid w:val="76643B42"/>
    <w:rsid w:val="773A78A3"/>
    <w:rsid w:val="7A5D73D7"/>
    <w:rsid w:val="7D145EE4"/>
    <w:rsid w:val="7DAE29C9"/>
    <w:rsid w:val="7E1A2206"/>
    <w:rsid w:val="7E5D69B7"/>
    <w:rsid w:val="7EC46D37"/>
    <w:rsid w:val="7F016EF9"/>
    <w:rsid w:val="7F1B3C1A"/>
    <w:rsid w:val="7FA94392"/>
    <w:rsid w:val="7FB7AAFC"/>
    <w:rsid w:val="EEF76B0C"/>
    <w:rsid w:val="FFF98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overflowPunct w:val="0"/>
      <w:topLinePunct/>
      <w:autoSpaceDE w:val="0"/>
      <w:autoSpaceDN w:val="0"/>
      <w:spacing w:line="360" w:lineRule="auto"/>
      <w:ind w:firstLine="200" w:firstLineChars="200"/>
      <w:jc w:val="both"/>
      <w:textAlignment w:val="top"/>
    </w:pPr>
    <w:rPr>
      <w:rFonts w:ascii="宋体" w:hAnsi="Times New Roman" w:eastAsia="宋体" w:cs="Times New Roman"/>
      <w:sz w:val="24"/>
      <w:lang w:val="en-US" w:eastAsia="zh-CN" w:bidi="ar-SA"/>
    </w:rPr>
  </w:style>
  <w:style w:type="paragraph" w:styleId="9">
    <w:name w:val="heading 1"/>
    <w:basedOn w:val="10"/>
    <w:next w:val="1"/>
    <w:link w:val="32"/>
    <w:qFormat/>
    <w:uiPriority w:val="9"/>
    <w:pPr>
      <w:numPr>
        <w:ilvl w:val="0"/>
      </w:numPr>
      <w:outlineLvl w:val="0"/>
    </w:pPr>
  </w:style>
  <w:style w:type="paragraph" w:styleId="11">
    <w:name w:val="heading 2"/>
    <w:basedOn w:val="1"/>
    <w:next w:val="1"/>
    <w:link w:val="33"/>
    <w:unhideWhenUsed/>
    <w:qFormat/>
    <w:uiPriority w:val="9"/>
    <w:pPr>
      <w:keepNext/>
      <w:keepLines/>
      <w:numPr>
        <w:ilvl w:val="1"/>
        <w:numId w:val="1"/>
      </w:numPr>
      <w:wordWrap/>
      <w:overflowPunct/>
      <w:topLinePunct w:val="0"/>
      <w:autoSpaceDE/>
      <w:autoSpaceDN/>
      <w:spacing w:before="240" w:after="240"/>
      <w:ind w:left="0" w:firstLine="0" w:firstLineChars="0"/>
      <w:textAlignment w:val="auto"/>
      <w:outlineLvl w:val="1"/>
    </w:pPr>
    <w:rPr>
      <w:rFonts w:ascii="Times New Roman"/>
      <w:b/>
      <w:bCs/>
      <w:kern w:val="2"/>
      <w:sz w:val="32"/>
      <w:szCs w:val="32"/>
    </w:rPr>
  </w:style>
  <w:style w:type="paragraph" w:styleId="10">
    <w:name w:val="heading 3"/>
    <w:basedOn w:val="11"/>
    <w:next w:val="1"/>
    <w:link w:val="34"/>
    <w:unhideWhenUsed/>
    <w:qFormat/>
    <w:uiPriority w:val="9"/>
    <w:pPr>
      <w:numPr>
        <w:ilvl w:val="2"/>
      </w:numPr>
      <w:outlineLvl w:val="2"/>
    </w:pPr>
  </w:style>
  <w:style w:type="paragraph" w:styleId="12">
    <w:name w:val="heading 4"/>
    <w:basedOn w:val="1"/>
    <w:next w:val="1"/>
    <w:link w:val="35"/>
    <w:unhideWhenUsed/>
    <w:qFormat/>
    <w:uiPriority w:val="9"/>
    <w:pPr>
      <w:keepNext/>
      <w:keepLines/>
      <w:numPr>
        <w:ilvl w:val="3"/>
        <w:numId w:val="1"/>
      </w:numPr>
      <w:wordWrap/>
      <w:overflowPunct/>
      <w:topLinePunct w:val="0"/>
      <w:autoSpaceDE/>
      <w:autoSpaceDN/>
      <w:spacing w:before="240" w:after="240"/>
      <w:ind w:left="0" w:firstLine="0" w:firstLineChars="0"/>
      <w:textAlignment w:val="auto"/>
      <w:outlineLvl w:val="3"/>
    </w:pPr>
    <w:rPr>
      <w:rFonts w:ascii="Times New Roman" w:eastAsiaTheme="minorEastAsia"/>
      <w:b/>
      <w:bCs/>
      <w:kern w:val="2"/>
      <w:sz w:val="28"/>
      <w:szCs w:val="28"/>
    </w:rPr>
  </w:style>
  <w:style w:type="paragraph" w:styleId="3">
    <w:name w:val="heading 5"/>
    <w:basedOn w:val="1"/>
    <w:next w:val="4"/>
    <w:qFormat/>
    <w:uiPriority w:val="0"/>
    <w:pPr>
      <w:keepNext/>
      <w:keepLines/>
      <w:numPr>
        <w:ilvl w:val="4"/>
        <w:numId w:val="2"/>
      </w:numPr>
      <w:spacing w:before="280" w:beforeLines="0" w:after="290" w:afterLines="0" w:line="374" w:lineRule="auto"/>
      <w:outlineLvl w:val="4"/>
    </w:pPr>
    <w:rPr>
      <w:b/>
      <w:bCs/>
      <w:sz w:val="28"/>
      <w:szCs w:val="28"/>
    </w:rPr>
  </w:style>
  <w:style w:type="paragraph" w:styleId="13">
    <w:name w:val="heading 9"/>
    <w:basedOn w:val="1"/>
    <w:next w:val="1"/>
    <w:link w:val="36"/>
    <w:semiHidden/>
    <w:unhideWhenUsed/>
    <w:qFormat/>
    <w:uiPriority w:val="9"/>
    <w:pPr>
      <w:keepNext/>
      <w:keepLines/>
      <w:wordWrap/>
      <w:overflowPunct/>
      <w:topLinePunct w:val="0"/>
      <w:autoSpaceDE/>
      <w:autoSpaceDN/>
      <w:spacing w:before="240" w:after="64" w:line="320" w:lineRule="auto"/>
      <w:ind w:firstLine="560"/>
      <w:textAlignment w:val="auto"/>
      <w:outlineLvl w:val="8"/>
    </w:pPr>
    <w:rPr>
      <w:rFonts w:asciiTheme="majorHAnsi" w:hAnsiTheme="majorHAnsi" w:eastAsiaTheme="majorEastAsia" w:cstheme="majorBidi"/>
      <w:kern w:val="2"/>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标题5"/>
    <w:basedOn w:val="3"/>
    <w:next w:val="6"/>
    <w:qFormat/>
    <w:uiPriority w:val="0"/>
    <w:pPr>
      <w:spacing w:before="100" w:beforeAutospacing="1" w:after="100" w:afterAutospacing="1"/>
      <w:ind w:hanging="1008"/>
    </w:pPr>
    <w:rPr>
      <w:rFonts w:eastAsia="黑体"/>
      <w:bCs w:val="0"/>
      <w:szCs w:val="20"/>
    </w:rPr>
  </w:style>
  <w:style w:type="paragraph" w:styleId="4">
    <w:name w:val="Body Text"/>
    <w:basedOn w:val="1"/>
    <w:next w:val="5"/>
    <w:link w:val="39"/>
    <w:unhideWhenUsed/>
    <w:qFormat/>
    <w:uiPriority w:val="1"/>
    <w:pPr>
      <w:wordWrap/>
      <w:overflowPunct/>
      <w:topLinePunct w:val="0"/>
      <w:adjustRightInd w:val="0"/>
      <w:spacing w:line="240" w:lineRule="auto"/>
      <w:ind w:firstLine="0" w:firstLineChars="0"/>
      <w:jc w:val="left"/>
      <w:textAlignment w:val="auto"/>
    </w:pPr>
    <w:rPr>
      <w:rFonts w:hAnsi="宋体"/>
      <w:sz w:val="28"/>
      <w:szCs w:val="24"/>
    </w:rPr>
  </w:style>
  <w:style w:type="paragraph" w:styleId="5">
    <w:name w:val="toc 5"/>
    <w:basedOn w:val="1"/>
    <w:next w:val="1"/>
    <w:qFormat/>
    <w:uiPriority w:val="39"/>
    <w:pPr>
      <w:ind w:left="840"/>
      <w:jc w:val="left"/>
    </w:pPr>
    <w:rPr>
      <w:sz w:val="18"/>
      <w:szCs w:val="18"/>
    </w:rPr>
  </w:style>
  <w:style w:type="paragraph" w:customStyle="1" w:styleId="6">
    <w:name w:val="D正文"/>
    <w:basedOn w:val="7"/>
    <w:qFormat/>
    <w:uiPriority w:val="0"/>
    <w:pPr>
      <w:widowControl/>
      <w:spacing w:before="100" w:beforeAutospacing="1" w:after="100" w:afterAutospacing="1"/>
      <w:ind w:left="0" w:leftChars="0"/>
      <w:jc w:val="left"/>
    </w:pPr>
  </w:style>
  <w:style w:type="paragraph" w:styleId="7">
    <w:name w:val="Body Text First Indent 2"/>
    <w:basedOn w:val="8"/>
    <w:unhideWhenUsed/>
    <w:qFormat/>
    <w:uiPriority w:val="99"/>
    <w:pPr>
      <w:spacing w:after="120"/>
      <w:ind w:left="420" w:leftChars="200" w:firstLine="420" w:firstLineChars="200"/>
    </w:pPr>
    <w:rPr>
      <w:rFonts w:ascii="Arial" w:hAnsi="Arial"/>
    </w:rPr>
  </w:style>
  <w:style w:type="paragraph" w:styleId="8">
    <w:name w:val="Body Text Indent"/>
    <w:basedOn w:val="1"/>
    <w:qFormat/>
    <w:uiPriority w:val="0"/>
    <w:pPr>
      <w:spacing w:line="360" w:lineRule="auto"/>
      <w:ind w:firstLine="560" w:firstLineChars="200"/>
    </w:pPr>
  </w:style>
  <w:style w:type="paragraph" w:styleId="14">
    <w:name w:val="Normal Indent"/>
    <w:basedOn w:val="1"/>
    <w:next w:val="1"/>
    <w:link w:val="54"/>
    <w:qFormat/>
    <w:uiPriority w:val="0"/>
    <w:pPr>
      <w:wordWrap/>
      <w:overflowPunct/>
      <w:topLinePunct w:val="0"/>
      <w:autoSpaceDE/>
      <w:autoSpaceDN/>
      <w:spacing w:line="240" w:lineRule="auto"/>
      <w:ind w:firstLine="420"/>
      <w:textAlignment w:val="auto"/>
    </w:pPr>
    <w:rPr>
      <w:rFonts w:ascii="Calibri" w:hAnsi="Calibri" w:eastAsia="微软雅黑"/>
      <w:kern w:val="2"/>
      <w:sz w:val="20"/>
    </w:rPr>
  </w:style>
  <w:style w:type="paragraph" w:styleId="15">
    <w:name w:val="caption"/>
    <w:basedOn w:val="1"/>
    <w:next w:val="1"/>
    <w:unhideWhenUsed/>
    <w:qFormat/>
    <w:uiPriority w:val="35"/>
    <w:pPr>
      <w:wordWrap/>
      <w:overflowPunct/>
      <w:topLinePunct w:val="0"/>
      <w:autoSpaceDE/>
      <w:autoSpaceDN/>
      <w:spacing w:line="240" w:lineRule="auto"/>
      <w:ind w:firstLine="560"/>
      <w:textAlignment w:val="auto"/>
    </w:pPr>
    <w:rPr>
      <w:rFonts w:eastAsia="黑体" w:asciiTheme="majorHAnsi" w:hAnsiTheme="majorHAnsi" w:cstheme="majorBidi"/>
      <w:kern w:val="2"/>
      <w:sz w:val="20"/>
    </w:rPr>
  </w:style>
  <w:style w:type="paragraph" w:styleId="16">
    <w:name w:val="Document Map"/>
    <w:basedOn w:val="1"/>
    <w:link w:val="37"/>
    <w:semiHidden/>
    <w:unhideWhenUsed/>
    <w:qFormat/>
    <w:uiPriority w:val="99"/>
    <w:pPr>
      <w:wordWrap/>
      <w:overflowPunct/>
      <w:topLinePunct w:val="0"/>
      <w:autoSpaceDE/>
      <w:autoSpaceDN/>
      <w:spacing w:line="240" w:lineRule="auto"/>
      <w:ind w:firstLine="560"/>
      <w:textAlignment w:val="auto"/>
    </w:pPr>
    <w:rPr>
      <w:rFonts w:hAnsiTheme="minorEastAsia" w:cstheme="minorBidi"/>
      <w:kern w:val="2"/>
      <w:sz w:val="18"/>
      <w:szCs w:val="18"/>
    </w:rPr>
  </w:style>
  <w:style w:type="paragraph" w:styleId="17">
    <w:name w:val="annotation text"/>
    <w:basedOn w:val="1"/>
    <w:link w:val="38"/>
    <w:semiHidden/>
    <w:unhideWhenUsed/>
    <w:qFormat/>
    <w:uiPriority w:val="99"/>
    <w:pPr>
      <w:wordWrap/>
      <w:overflowPunct/>
      <w:topLinePunct w:val="0"/>
      <w:autoSpaceDE/>
      <w:autoSpaceDN/>
      <w:spacing w:line="240" w:lineRule="auto"/>
      <w:ind w:firstLine="560"/>
      <w:jc w:val="left"/>
      <w:textAlignment w:val="auto"/>
    </w:pPr>
    <w:rPr>
      <w:rFonts w:asciiTheme="minorEastAsia" w:hAnsiTheme="minorEastAsia" w:eastAsiaTheme="minorEastAsia" w:cstheme="minorBidi"/>
      <w:kern w:val="2"/>
      <w:sz w:val="28"/>
      <w:szCs w:val="22"/>
    </w:rPr>
  </w:style>
  <w:style w:type="paragraph" w:styleId="18">
    <w:name w:val="toc 3"/>
    <w:basedOn w:val="1"/>
    <w:next w:val="1"/>
    <w:unhideWhenUsed/>
    <w:qFormat/>
    <w:uiPriority w:val="39"/>
    <w:pPr>
      <w:wordWrap/>
      <w:overflowPunct/>
      <w:topLinePunct w:val="0"/>
      <w:autoSpaceDE/>
      <w:autoSpaceDN/>
      <w:spacing w:line="240" w:lineRule="auto"/>
      <w:ind w:firstLine="400" w:firstLineChars="400"/>
      <w:textAlignment w:val="auto"/>
    </w:pPr>
    <w:rPr>
      <w:rFonts w:ascii="Times New Roman" w:eastAsiaTheme="minorEastAsia" w:cstheme="minorBidi"/>
      <w:kern w:val="2"/>
      <w:sz w:val="28"/>
      <w:szCs w:val="22"/>
    </w:rPr>
  </w:style>
  <w:style w:type="paragraph" w:styleId="19">
    <w:name w:val="Date"/>
    <w:basedOn w:val="1"/>
    <w:next w:val="1"/>
    <w:link w:val="40"/>
    <w:semiHidden/>
    <w:unhideWhenUsed/>
    <w:qFormat/>
    <w:uiPriority w:val="99"/>
    <w:pPr>
      <w:wordWrap/>
      <w:overflowPunct/>
      <w:topLinePunct w:val="0"/>
      <w:autoSpaceDE/>
      <w:autoSpaceDN/>
      <w:spacing w:line="240" w:lineRule="auto"/>
      <w:ind w:left="100" w:leftChars="2500" w:firstLine="560"/>
      <w:textAlignment w:val="auto"/>
    </w:pPr>
    <w:rPr>
      <w:rFonts w:asciiTheme="minorEastAsia" w:hAnsiTheme="minorEastAsia" w:eastAsiaTheme="minorEastAsia" w:cstheme="minorBidi"/>
      <w:kern w:val="2"/>
      <w:sz w:val="28"/>
      <w:szCs w:val="22"/>
    </w:rPr>
  </w:style>
  <w:style w:type="paragraph" w:styleId="20">
    <w:name w:val="Balloon Text"/>
    <w:basedOn w:val="1"/>
    <w:link w:val="41"/>
    <w:semiHidden/>
    <w:unhideWhenUsed/>
    <w:qFormat/>
    <w:uiPriority w:val="99"/>
    <w:pPr>
      <w:wordWrap/>
      <w:overflowPunct/>
      <w:topLinePunct w:val="0"/>
      <w:autoSpaceDE/>
      <w:autoSpaceDN/>
      <w:spacing w:line="240" w:lineRule="auto"/>
      <w:ind w:firstLine="560"/>
      <w:textAlignment w:val="auto"/>
    </w:pPr>
    <w:rPr>
      <w:rFonts w:asciiTheme="minorEastAsia" w:hAnsiTheme="minorEastAsia" w:eastAsiaTheme="minorEastAsia" w:cstheme="minorBidi"/>
      <w:kern w:val="2"/>
      <w:sz w:val="18"/>
      <w:szCs w:val="18"/>
    </w:rPr>
  </w:style>
  <w:style w:type="paragraph" w:styleId="21">
    <w:name w:val="footer"/>
    <w:basedOn w:val="1"/>
    <w:link w:val="42"/>
    <w:unhideWhenUsed/>
    <w:qFormat/>
    <w:uiPriority w:val="99"/>
    <w:pPr>
      <w:tabs>
        <w:tab w:val="center" w:pos="4153"/>
        <w:tab w:val="right" w:pos="8306"/>
      </w:tabs>
      <w:wordWrap/>
      <w:overflowPunct/>
      <w:topLinePunct w:val="0"/>
      <w:autoSpaceDE/>
      <w:autoSpaceDN/>
      <w:snapToGrid w:val="0"/>
      <w:spacing w:line="240" w:lineRule="auto"/>
      <w:ind w:firstLine="560"/>
      <w:jc w:val="left"/>
      <w:textAlignment w:val="auto"/>
    </w:pPr>
    <w:rPr>
      <w:rFonts w:asciiTheme="minorEastAsia" w:hAnsiTheme="minorEastAsia" w:eastAsiaTheme="minorEastAsia" w:cstheme="minorBidi"/>
      <w:kern w:val="2"/>
      <w:sz w:val="18"/>
      <w:szCs w:val="18"/>
    </w:rPr>
  </w:style>
  <w:style w:type="paragraph" w:styleId="22">
    <w:name w:val="header"/>
    <w:basedOn w:val="1"/>
    <w:link w:val="43"/>
    <w:unhideWhenUsed/>
    <w:qFormat/>
    <w:uiPriority w:val="0"/>
    <w:pPr>
      <w:pBdr>
        <w:bottom w:val="single" w:color="auto" w:sz="6" w:space="1"/>
      </w:pBdr>
      <w:tabs>
        <w:tab w:val="center" w:pos="4153"/>
        <w:tab w:val="right" w:pos="8306"/>
      </w:tabs>
      <w:wordWrap/>
      <w:overflowPunct/>
      <w:topLinePunct w:val="0"/>
      <w:autoSpaceDE/>
      <w:autoSpaceDN/>
      <w:snapToGrid w:val="0"/>
      <w:spacing w:line="240" w:lineRule="auto"/>
      <w:ind w:firstLine="560"/>
      <w:jc w:val="center"/>
      <w:textAlignment w:val="auto"/>
    </w:pPr>
    <w:rPr>
      <w:rFonts w:asciiTheme="minorEastAsia" w:hAnsiTheme="minorEastAsia" w:eastAsiaTheme="minorEastAsia" w:cstheme="minorBidi"/>
      <w:kern w:val="2"/>
      <w:sz w:val="18"/>
      <w:szCs w:val="18"/>
    </w:rPr>
  </w:style>
  <w:style w:type="paragraph" w:styleId="23">
    <w:name w:val="toc 1"/>
    <w:basedOn w:val="1"/>
    <w:next w:val="1"/>
    <w:unhideWhenUsed/>
    <w:qFormat/>
    <w:uiPriority w:val="39"/>
    <w:pPr>
      <w:wordWrap/>
      <w:overflowPunct/>
      <w:topLinePunct w:val="0"/>
      <w:autoSpaceDE/>
      <w:autoSpaceDN/>
      <w:spacing w:line="240" w:lineRule="auto"/>
      <w:ind w:firstLine="0" w:firstLineChars="0"/>
      <w:textAlignment w:val="auto"/>
    </w:pPr>
    <w:rPr>
      <w:rFonts w:ascii="Times New Roman" w:cstheme="minorBidi"/>
      <w:b/>
      <w:kern w:val="2"/>
      <w:sz w:val="28"/>
      <w:szCs w:val="22"/>
    </w:rPr>
  </w:style>
  <w:style w:type="paragraph" w:styleId="24">
    <w:name w:val="toc 2"/>
    <w:basedOn w:val="1"/>
    <w:next w:val="1"/>
    <w:unhideWhenUsed/>
    <w:qFormat/>
    <w:uiPriority w:val="39"/>
    <w:pPr>
      <w:wordWrap/>
      <w:overflowPunct/>
      <w:topLinePunct w:val="0"/>
      <w:autoSpaceDE/>
      <w:autoSpaceDN/>
      <w:spacing w:line="240" w:lineRule="auto"/>
      <w:ind w:firstLine="560"/>
      <w:textAlignment w:val="auto"/>
    </w:pPr>
    <w:rPr>
      <w:rFonts w:ascii="Times New Roman" w:eastAsia="黑体" w:cstheme="minorBidi"/>
      <w:kern w:val="2"/>
      <w:sz w:val="28"/>
      <w:szCs w:val="22"/>
    </w:rPr>
  </w:style>
  <w:style w:type="paragraph" w:styleId="25">
    <w:name w:val="Normal (Web)"/>
    <w:basedOn w:val="1"/>
    <w:unhideWhenUsed/>
    <w:qFormat/>
    <w:uiPriority w:val="99"/>
    <w:pPr>
      <w:widowControl/>
      <w:wordWrap/>
      <w:overflowPunct/>
      <w:topLinePunct w:val="0"/>
      <w:autoSpaceDE/>
      <w:autoSpaceDN/>
      <w:spacing w:before="100" w:beforeAutospacing="1" w:after="100" w:afterAutospacing="1" w:line="240" w:lineRule="auto"/>
      <w:ind w:firstLine="560"/>
      <w:jc w:val="left"/>
      <w:textAlignment w:val="auto"/>
    </w:pPr>
    <w:rPr>
      <w:rFonts w:hAnsi="宋体" w:cs="宋体"/>
      <w:szCs w:val="24"/>
    </w:rPr>
  </w:style>
  <w:style w:type="paragraph" w:styleId="26">
    <w:name w:val="annotation subject"/>
    <w:basedOn w:val="17"/>
    <w:next w:val="17"/>
    <w:link w:val="44"/>
    <w:semiHidden/>
    <w:unhideWhenUsed/>
    <w:qFormat/>
    <w:uiPriority w:val="99"/>
    <w:rPr>
      <w:b/>
      <w:bCs/>
    </w:rPr>
  </w:style>
  <w:style w:type="table" w:styleId="28">
    <w:name w:val="Table Grid"/>
    <w:basedOn w:val="2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unhideWhenUsed/>
    <w:qFormat/>
    <w:uiPriority w:val="99"/>
    <w:rPr>
      <w:color w:val="0000FF" w:themeColor="hyperlink"/>
      <w:u w:val="single"/>
      <w14:textFill>
        <w14:solidFill>
          <w14:schemeClr w14:val="hlink"/>
        </w14:solidFill>
      </w14:textFill>
    </w:rPr>
  </w:style>
  <w:style w:type="character" w:styleId="31">
    <w:name w:val="annotation reference"/>
    <w:basedOn w:val="29"/>
    <w:qFormat/>
    <w:uiPriority w:val="0"/>
    <w:rPr>
      <w:sz w:val="21"/>
    </w:rPr>
  </w:style>
  <w:style w:type="character" w:customStyle="1" w:styleId="32">
    <w:name w:val="标题 1 Char"/>
    <w:basedOn w:val="29"/>
    <w:link w:val="9"/>
    <w:qFormat/>
    <w:uiPriority w:val="9"/>
    <w:rPr>
      <w:rFonts w:ascii="Times New Roman" w:hAnsi="Times New Roman" w:eastAsia="宋体" w:cs="Times New Roman"/>
      <w:b/>
      <w:bCs/>
      <w:sz w:val="32"/>
      <w:szCs w:val="32"/>
    </w:rPr>
  </w:style>
  <w:style w:type="character" w:customStyle="1" w:styleId="33">
    <w:name w:val="标题 2 Char"/>
    <w:basedOn w:val="29"/>
    <w:link w:val="11"/>
    <w:qFormat/>
    <w:uiPriority w:val="9"/>
    <w:rPr>
      <w:rFonts w:ascii="Times New Roman" w:hAnsi="Times New Roman" w:eastAsia="宋体" w:cs="Times New Roman"/>
      <w:b/>
      <w:bCs/>
      <w:sz w:val="32"/>
      <w:szCs w:val="32"/>
    </w:rPr>
  </w:style>
  <w:style w:type="character" w:customStyle="1" w:styleId="34">
    <w:name w:val="标题 3 Char"/>
    <w:basedOn w:val="29"/>
    <w:link w:val="10"/>
    <w:qFormat/>
    <w:uiPriority w:val="9"/>
    <w:rPr>
      <w:rFonts w:ascii="Times New Roman" w:hAnsi="Times New Roman" w:eastAsia="宋体" w:cs="Times New Roman"/>
      <w:b/>
      <w:bCs/>
      <w:sz w:val="32"/>
      <w:szCs w:val="32"/>
    </w:rPr>
  </w:style>
  <w:style w:type="character" w:customStyle="1" w:styleId="35">
    <w:name w:val="标题 4 Char"/>
    <w:basedOn w:val="29"/>
    <w:link w:val="12"/>
    <w:qFormat/>
    <w:uiPriority w:val="9"/>
    <w:rPr>
      <w:rFonts w:ascii="Times New Roman" w:hAnsi="Times New Roman" w:cs="Times New Roman"/>
      <w:b/>
      <w:bCs/>
      <w:sz w:val="28"/>
      <w:szCs w:val="28"/>
    </w:rPr>
  </w:style>
  <w:style w:type="character" w:customStyle="1" w:styleId="36">
    <w:name w:val="标题 9 Char"/>
    <w:basedOn w:val="29"/>
    <w:link w:val="13"/>
    <w:semiHidden/>
    <w:qFormat/>
    <w:uiPriority w:val="9"/>
    <w:rPr>
      <w:rFonts w:asciiTheme="majorHAnsi" w:hAnsiTheme="majorHAnsi" w:eastAsiaTheme="majorEastAsia" w:cstheme="majorBidi"/>
      <w:szCs w:val="21"/>
    </w:rPr>
  </w:style>
  <w:style w:type="character" w:customStyle="1" w:styleId="37">
    <w:name w:val="文档结构图 Char"/>
    <w:basedOn w:val="29"/>
    <w:link w:val="16"/>
    <w:semiHidden/>
    <w:qFormat/>
    <w:uiPriority w:val="99"/>
    <w:rPr>
      <w:rFonts w:ascii="宋体" w:eastAsia="宋体" w:hAnsiTheme="minorEastAsia"/>
      <w:sz w:val="18"/>
      <w:szCs w:val="18"/>
    </w:rPr>
  </w:style>
  <w:style w:type="character" w:customStyle="1" w:styleId="38">
    <w:name w:val="批注文字 Char"/>
    <w:basedOn w:val="29"/>
    <w:link w:val="17"/>
    <w:semiHidden/>
    <w:qFormat/>
    <w:uiPriority w:val="99"/>
    <w:rPr>
      <w:rFonts w:asciiTheme="minorEastAsia" w:hAnsiTheme="minorEastAsia"/>
      <w:sz w:val="28"/>
    </w:rPr>
  </w:style>
  <w:style w:type="character" w:customStyle="1" w:styleId="39">
    <w:name w:val="正文文本 Char"/>
    <w:basedOn w:val="29"/>
    <w:link w:val="4"/>
    <w:qFormat/>
    <w:uiPriority w:val="99"/>
    <w:rPr>
      <w:rFonts w:ascii="宋体" w:hAnsi="宋体" w:eastAsia="宋体" w:cs="Times New Roman"/>
      <w:kern w:val="0"/>
      <w:sz w:val="28"/>
      <w:szCs w:val="24"/>
    </w:rPr>
  </w:style>
  <w:style w:type="character" w:customStyle="1" w:styleId="40">
    <w:name w:val="日期 Char"/>
    <w:basedOn w:val="29"/>
    <w:link w:val="19"/>
    <w:semiHidden/>
    <w:qFormat/>
    <w:uiPriority w:val="99"/>
    <w:rPr>
      <w:rFonts w:asciiTheme="minorEastAsia" w:hAnsiTheme="minorEastAsia"/>
      <w:sz w:val="28"/>
    </w:rPr>
  </w:style>
  <w:style w:type="character" w:customStyle="1" w:styleId="41">
    <w:name w:val="批注框文本 Char"/>
    <w:basedOn w:val="29"/>
    <w:link w:val="20"/>
    <w:semiHidden/>
    <w:qFormat/>
    <w:uiPriority w:val="99"/>
    <w:rPr>
      <w:rFonts w:asciiTheme="minorEastAsia" w:hAnsiTheme="minorEastAsia"/>
      <w:sz w:val="18"/>
      <w:szCs w:val="18"/>
    </w:rPr>
  </w:style>
  <w:style w:type="character" w:customStyle="1" w:styleId="42">
    <w:name w:val="页脚 Char"/>
    <w:basedOn w:val="29"/>
    <w:link w:val="21"/>
    <w:qFormat/>
    <w:uiPriority w:val="99"/>
    <w:rPr>
      <w:rFonts w:asciiTheme="minorEastAsia" w:hAnsiTheme="minorEastAsia"/>
      <w:sz w:val="18"/>
      <w:szCs w:val="18"/>
    </w:rPr>
  </w:style>
  <w:style w:type="character" w:customStyle="1" w:styleId="43">
    <w:name w:val="页眉 Char"/>
    <w:basedOn w:val="29"/>
    <w:link w:val="22"/>
    <w:qFormat/>
    <w:uiPriority w:val="0"/>
    <w:rPr>
      <w:rFonts w:asciiTheme="minorEastAsia" w:hAnsiTheme="minorEastAsia"/>
      <w:sz w:val="18"/>
      <w:szCs w:val="18"/>
    </w:rPr>
  </w:style>
  <w:style w:type="character" w:customStyle="1" w:styleId="44">
    <w:name w:val="批注主题 Char"/>
    <w:basedOn w:val="38"/>
    <w:link w:val="26"/>
    <w:semiHidden/>
    <w:qFormat/>
    <w:uiPriority w:val="99"/>
    <w:rPr>
      <w:b/>
      <w:bCs/>
    </w:rPr>
  </w:style>
  <w:style w:type="paragraph" w:styleId="45">
    <w:name w:val="List Paragraph"/>
    <w:basedOn w:val="1"/>
    <w:qFormat/>
    <w:uiPriority w:val="34"/>
    <w:pPr>
      <w:wordWrap/>
      <w:overflowPunct/>
      <w:topLinePunct w:val="0"/>
      <w:autoSpaceDE/>
      <w:autoSpaceDN/>
      <w:spacing w:line="240" w:lineRule="auto"/>
      <w:ind w:firstLine="420"/>
      <w:textAlignment w:val="auto"/>
    </w:pPr>
    <w:rPr>
      <w:rFonts w:asciiTheme="minorEastAsia" w:hAnsiTheme="minorEastAsia" w:eastAsiaTheme="minorEastAsia"/>
      <w:kern w:val="2"/>
      <w:sz w:val="28"/>
      <w:szCs w:val="32"/>
    </w:rPr>
  </w:style>
  <w:style w:type="paragraph" w:styleId="46">
    <w:name w:val="Quote"/>
    <w:basedOn w:val="1"/>
    <w:next w:val="1"/>
    <w:link w:val="47"/>
    <w:qFormat/>
    <w:uiPriority w:val="29"/>
    <w:pPr>
      <w:wordWrap/>
      <w:overflowPunct/>
      <w:topLinePunct w:val="0"/>
      <w:autoSpaceDE/>
      <w:autoSpaceDN/>
      <w:spacing w:line="240" w:lineRule="auto"/>
      <w:ind w:firstLine="560"/>
      <w:jc w:val="center"/>
      <w:textAlignment w:val="auto"/>
    </w:pPr>
    <w:rPr>
      <w:rFonts w:asciiTheme="minorEastAsia" w:hAnsiTheme="minorEastAsia" w:eastAsiaTheme="minorEastAsia"/>
      <w:kern w:val="2"/>
      <w:sz w:val="28"/>
      <w:szCs w:val="32"/>
    </w:rPr>
  </w:style>
  <w:style w:type="character" w:customStyle="1" w:styleId="47">
    <w:name w:val="引用 Char"/>
    <w:basedOn w:val="29"/>
    <w:link w:val="46"/>
    <w:qFormat/>
    <w:uiPriority w:val="29"/>
    <w:rPr>
      <w:rFonts w:cs="Times New Roman" w:asciiTheme="minorEastAsia" w:hAnsiTheme="minorEastAsia"/>
      <w:sz w:val="28"/>
      <w:szCs w:val="32"/>
    </w:rPr>
  </w:style>
  <w:style w:type="character" w:customStyle="1" w:styleId="48">
    <w:name w:val="00正文 字符"/>
    <w:link w:val="49"/>
    <w:qFormat/>
    <w:uiPriority w:val="0"/>
    <w:rPr>
      <w:rFonts w:ascii="Times New Roman" w:hAnsi="Times New Roman"/>
      <w:sz w:val="24"/>
      <w:szCs w:val="24"/>
    </w:rPr>
  </w:style>
  <w:style w:type="paragraph" w:customStyle="1" w:styleId="49">
    <w:name w:val="00正文"/>
    <w:basedOn w:val="1"/>
    <w:link w:val="48"/>
    <w:qFormat/>
    <w:uiPriority w:val="0"/>
    <w:pPr>
      <w:wordWrap/>
      <w:adjustRightInd w:val="0"/>
      <w:snapToGrid w:val="0"/>
      <w:spacing w:line="240" w:lineRule="auto"/>
      <w:ind w:firstLine="0" w:firstLineChars="0"/>
      <w:jc w:val="center"/>
      <w:textAlignment w:val="auto"/>
    </w:pPr>
    <w:rPr>
      <w:rFonts w:ascii="Times New Roman" w:eastAsiaTheme="minorEastAsia" w:cstheme="minorBidi"/>
      <w:kern w:val="2"/>
      <w:szCs w:val="24"/>
    </w:rPr>
  </w:style>
  <w:style w:type="paragraph" w:customStyle="1" w:styleId="50">
    <w:name w:val="TOC 标题1"/>
    <w:basedOn w:val="9"/>
    <w:next w:val="1"/>
    <w:unhideWhenUsed/>
    <w:qFormat/>
    <w:uiPriority w:val="39"/>
    <w:pPr>
      <w:widowControl/>
      <w:numPr>
        <w:numId w:val="0"/>
      </w:numPr>
      <w:spacing w:after="0" w:line="259" w:lineRule="auto"/>
      <w:jc w:val="left"/>
      <w:outlineLvl w:val="9"/>
    </w:pPr>
    <w:rPr>
      <w:rFonts w:asciiTheme="majorHAnsi" w:hAnsiTheme="majorHAnsi" w:eastAsiaTheme="majorEastAsia"/>
      <w:b w:val="0"/>
      <w:bCs w:val="0"/>
      <w:color w:val="376092" w:themeColor="accent1" w:themeShade="BF"/>
      <w:kern w:val="0"/>
    </w:rPr>
  </w:style>
  <w:style w:type="character" w:customStyle="1" w:styleId="51">
    <w:name w:val="1标题 Char"/>
    <w:link w:val="52"/>
    <w:qFormat/>
    <w:uiPriority w:val="0"/>
    <w:rPr>
      <w:rFonts w:eastAsia="黑体"/>
      <w:b/>
      <w:sz w:val="32"/>
      <w:szCs w:val="32"/>
    </w:rPr>
  </w:style>
  <w:style w:type="paragraph" w:customStyle="1" w:styleId="52">
    <w:name w:val="1标题"/>
    <w:basedOn w:val="1"/>
    <w:link w:val="51"/>
    <w:qFormat/>
    <w:uiPriority w:val="0"/>
    <w:pPr>
      <w:tabs>
        <w:tab w:val="left" w:pos="1440"/>
      </w:tabs>
      <w:wordWrap/>
      <w:overflowPunct/>
      <w:topLinePunct w:val="0"/>
      <w:autoSpaceDE/>
      <w:autoSpaceDN/>
      <w:adjustRightInd w:val="0"/>
      <w:snapToGrid w:val="0"/>
      <w:spacing w:before="360" w:after="120" w:line="240" w:lineRule="auto"/>
      <w:ind w:firstLine="560"/>
      <w:jc w:val="center"/>
      <w:textAlignment w:val="auto"/>
      <w:outlineLvl w:val="0"/>
    </w:pPr>
    <w:rPr>
      <w:rFonts w:eastAsia="黑体" w:asciiTheme="minorHAnsi" w:hAnsiTheme="minorHAnsi" w:cstheme="minorBidi"/>
      <w:b/>
      <w:kern w:val="2"/>
      <w:sz w:val="32"/>
      <w:szCs w:val="32"/>
    </w:rPr>
  </w:style>
  <w:style w:type="paragraph" w:customStyle="1" w:styleId="53">
    <w:name w:val="海河课题标题2"/>
    <w:basedOn w:val="10"/>
    <w:qFormat/>
    <w:uiPriority w:val="99"/>
    <w:pPr>
      <w:adjustRightInd w:val="0"/>
      <w:snapToGrid w:val="0"/>
      <w:spacing w:beforeLines="150" w:afterLines="50"/>
      <w:outlineLvl w:val="1"/>
    </w:pPr>
    <w:rPr>
      <w:rFonts w:eastAsia="仿宋_GB2312"/>
      <w:bCs w:val="0"/>
      <w:kern w:val="0"/>
      <w:szCs w:val="28"/>
    </w:rPr>
  </w:style>
  <w:style w:type="character" w:customStyle="1" w:styleId="54">
    <w:name w:val="正文缩进 Char"/>
    <w:link w:val="14"/>
    <w:qFormat/>
    <w:uiPriority w:val="0"/>
    <w:rPr>
      <w:rFonts w:ascii="Calibri" w:hAnsi="Calibri" w:eastAsia="微软雅黑" w:cs="Times New Roman"/>
      <w:sz w:val="20"/>
      <w:szCs w:val="20"/>
    </w:rPr>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文字"/>
    <w:basedOn w:val="1"/>
    <w:qFormat/>
    <w:uiPriority w:val="0"/>
    <w:pPr>
      <w:widowControl/>
      <w:wordWrap/>
      <w:overflowPunct/>
      <w:topLinePunct w:val="0"/>
      <w:autoSpaceDE/>
      <w:autoSpaceDN/>
      <w:spacing w:afterLines="50"/>
      <w:ind w:firstLine="420"/>
      <w:textAlignment w:val="auto"/>
    </w:pPr>
    <w:rPr>
      <w:rFonts w:asciiTheme="minorEastAsia" w:hAnsiTheme="minorEastAsia"/>
      <w:szCs w:val="24"/>
    </w:rPr>
  </w:style>
  <w:style w:type="paragraph" w:customStyle="1" w:styleId="57">
    <w:name w:val="其他表格"/>
    <w:basedOn w:val="1"/>
    <w:qFormat/>
    <w:uiPriority w:val="0"/>
    <w:pPr>
      <w:widowControl/>
      <w:wordWrap/>
      <w:overflowPunct/>
      <w:topLinePunct w:val="0"/>
      <w:autoSpaceDE/>
      <w:autoSpaceDN/>
      <w:spacing w:line="360" w:lineRule="exact"/>
      <w:ind w:firstLine="630" w:firstLineChars="300"/>
      <w:textAlignment w:val="auto"/>
    </w:pPr>
    <w:rPr>
      <w:rFonts w:hAnsi="宋体"/>
      <w:color w:val="FF0000"/>
      <w:sz w:val="28"/>
      <w:szCs w:val="21"/>
    </w:rPr>
  </w:style>
  <w:style w:type="paragraph" w:customStyle="1" w:styleId="58">
    <w:name w:val="海河课题标题3"/>
    <w:basedOn w:val="12"/>
    <w:qFormat/>
    <w:uiPriority w:val="99"/>
    <w:pPr>
      <w:adjustRightInd w:val="0"/>
      <w:snapToGrid w:val="0"/>
      <w:spacing w:beforeLines="130" w:afterLines="50"/>
      <w:outlineLvl w:val="2"/>
    </w:pPr>
    <w:rPr>
      <w:rFonts w:eastAsia="仿宋_GB2312"/>
      <w:bCs w:val="0"/>
      <w:kern w:val="0"/>
      <w:sz w:val="30"/>
      <w:szCs w:val="20"/>
    </w:rPr>
  </w:style>
  <w:style w:type="character" w:styleId="59">
    <w:name w:val="Placeholder Text"/>
    <w:basedOn w:val="29"/>
    <w:semiHidden/>
    <w:qFormat/>
    <w:uiPriority w:val="99"/>
    <w:rPr>
      <w:color w:val="808080"/>
    </w:rPr>
  </w:style>
  <w:style w:type="paragraph" w:customStyle="1" w:styleId="60">
    <w:name w:val="标题2"/>
    <w:basedOn w:val="1"/>
    <w:next w:val="14"/>
    <w:qFormat/>
    <w:uiPriority w:val="0"/>
    <w:pPr>
      <w:tabs>
        <w:tab w:val="left" w:pos="720"/>
      </w:tabs>
      <w:wordWrap/>
      <w:overflowPunct/>
      <w:topLinePunct w:val="0"/>
      <w:autoSpaceDE/>
      <w:autoSpaceDN/>
      <w:ind w:firstLine="560"/>
      <w:textAlignment w:val="auto"/>
    </w:pPr>
    <w:rPr>
      <w:rFonts w:eastAsia="黑体" w:asciiTheme="minorEastAsia" w:hAnsiTheme="minorEastAsia"/>
      <w:kern w:val="2"/>
      <w:sz w:val="30"/>
      <w:szCs w:val="24"/>
    </w:rPr>
  </w:style>
  <w:style w:type="paragraph" w:customStyle="1" w:styleId="61">
    <w:name w:val="标题3"/>
    <w:basedOn w:val="1"/>
    <w:next w:val="14"/>
    <w:qFormat/>
    <w:uiPriority w:val="0"/>
    <w:pPr>
      <w:tabs>
        <w:tab w:val="left" w:pos="720"/>
      </w:tabs>
      <w:wordWrap/>
      <w:overflowPunct/>
      <w:topLinePunct w:val="0"/>
      <w:autoSpaceDE/>
      <w:autoSpaceDN/>
      <w:spacing w:afterLines="20"/>
      <w:ind w:firstLine="560"/>
      <w:textAlignment w:val="auto"/>
    </w:pPr>
    <w:rPr>
      <w:rFonts w:eastAsia="黑体" w:asciiTheme="minorEastAsia" w:hAnsiTheme="minorEastAsia"/>
      <w:kern w:val="2"/>
      <w:sz w:val="28"/>
      <w:szCs w:val="24"/>
    </w:rPr>
  </w:style>
  <w:style w:type="paragraph" w:customStyle="1" w:styleId="62">
    <w:name w:val="图表标题"/>
    <w:basedOn w:val="1"/>
    <w:link w:val="64"/>
    <w:qFormat/>
    <w:uiPriority w:val="0"/>
    <w:pPr>
      <w:wordWrap/>
      <w:overflowPunct/>
      <w:topLinePunct w:val="0"/>
      <w:autoSpaceDE/>
      <w:autoSpaceDN/>
      <w:spacing w:line="240" w:lineRule="auto"/>
      <w:ind w:firstLine="0" w:firstLineChars="0"/>
      <w:jc w:val="center"/>
      <w:textAlignment w:val="auto"/>
    </w:pPr>
    <w:rPr>
      <w:rFonts w:ascii="Times New Roman" w:eastAsia="黑体"/>
      <w:kern w:val="2"/>
      <w:sz w:val="28"/>
      <w:szCs w:val="28"/>
    </w:rPr>
  </w:style>
  <w:style w:type="paragraph" w:customStyle="1" w:styleId="63">
    <w:name w:val="图片"/>
    <w:basedOn w:val="1"/>
    <w:link w:val="65"/>
    <w:qFormat/>
    <w:uiPriority w:val="0"/>
    <w:pPr>
      <w:wordWrap/>
      <w:overflowPunct/>
      <w:topLinePunct w:val="0"/>
      <w:autoSpaceDE/>
      <w:autoSpaceDN/>
      <w:spacing w:line="240" w:lineRule="auto"/>
      <w:ind w:firstLine="0" w:firstLineChars="0"/>
      <w:jc w:val="center"/>
      <w:textAlignment w:val="auto"/>
    </w:pPr>
    <w:rPr>
      <w:rFonts w:asciiTheme="minorEastAsia" w:hAnsiTheme="minorEastAsia" w:eastAsiaTheme="minorEastAsia" w:cstheme="minorBidi"/>
      <w:kern w:val="2"/>
      <w:sz w:val="28"/>
      <w:szCs w:val="22"/>
    </w:rPr>
  </w:style>
  <w:style w:type="character" w:customStyle="1" w:styleId="64">
    <w:name w:val="图表标题 字符"/>
    <w:basedOn w:val="29"/>
    <w:link w:val="62"/>
    <w:qFormat/>
    <w:uiPriority w:val="0"/>
    <w:rPr>
      <w:rFonts w:ascii="Times New Roman" w:hAnsi="Times New Roman" w:eastAsia="黑体" w:cs="Times New Roman"/>
      <w:sz w:val="28"/>
      <w:szCs w:val="28"/>
    </w:rPr>
  </w:style>
  <w:style w:type="character" w:customStyle="1" w:styleId="65">
    <w:name w:val="图片 字符"/>
    <w:basedOn w:val="29"/>
    <w:link w:val="63"/>
    <w:qFormat/>
    <w:uiPriority w:val="0"/>
    <w:rPr>
      <w:rFonts w:asciiTheme="minorEastAsia" w:hAnsiTheme="minorEastAsia"/>
      <w:sz w:val="28"/>
    </w:rPr>
  </w:style>
  <w:style w:type="character" w:customStyle="1" w:styleId="66">
    <w:name w:val="fontstyle01"/>
    <w:basedOn w:val="29"/>
    <w:qFormat/>
    <w:uiPriority w:val="0"/>
    <w:rPr>
      <w:rFonts w:hint="eastAsia" w:ascii="宋体" w:hAnsi="宋体" w:eastAsia="宋体"/>
      <w:color w:val="000000"/>
      <w:sz w:val="24"/>
      <w:szCs w:val="24"/>
    </w:rPr>
  </w:style>
  <w:style w:type="character" w:customStyle="1" w:styleId="67">
    <w:name w:val="fontstyle11"/>
    <w:basedOn w:val="29"/>
    <w:qFormat/>
    <w:uiPriority w:val="0"/>
    <w:rPr>
      <w:rFonts w:hint="default" w:ascii="Times New Roman" w:hAnsi="Times New Roman" w:cs="Times New Roman"/>
      <w:color w:val="000000"/>
      <w:sz w:val="24"/>
      <w:szCs w:val="24"/>
    </w:rPr>
  </w:style>
  <w:style w:type="paragraph" w:customStyle="1" w:styleId="68">
    <w:name w:val="表"/>
    <w:basedOn w:val="49"/>
    <w:link w:val="69"/>
    <w:qFormat/>
    <w:uiPriority w:val="0"/>
    <w:rPr>
      <w:rFonts w:cs="Times New Roman"/>
    </w:rPr>
  </w:style>
  <w:style w:type="character" w:customStyle="1" w:styleId="69">
    <w:name w:val="表 字符"/>
    <w:basedOn w:val="48"/>
    <w:link w:val="68"/>
    <w:qFormat/>
    <w:uiPriority w:val="0"/>
    <w:rPr>
      <w:rFonts w:cs="Times New Roman"/>
    </w:rPr>
  </w:style>
  <w:style w:type="paragraph" w:customStyle="1" w:styleId="70">
    <w:name w:val="表头编号"/>
    <w:basedOn w:val="1"/>
    <w:next w:val="1"/>
    <w:link w:val="71"/>
    <w:qFormat/>
    <w:uiPriority w:val="0"/>
    <w:pPr>
      <w:wordWrap/>
      <w:overflowPunct/>
      <w:topLinePunct w:val="0"/>
      <w:autoSpaceDE/>
      <w:autoSpaceDN/>
      <w:adjustRightInd w:val="0"/>
      <w:snapToGrid w:val="0"/>
      <w:spacing w:line="520" w:lineRule="exact"/>
      <w:ind w:firstLine="0" w:firstLineChars="0"/>
      <w:jc w:val="left"/>
      <w:textAlignment w:val="auto"/>
    </w:pPr>
    <w:rPr>
      <w:rFonts w:ascii="Times New Roman"/>
      <w:kern w:val="2"/>
      <w:szCs w:val="24"/>
    </w:rPr>
  </w:style>
  <w:style w:type="character" w:customStyle="1" w:styleId="71">
    <w:name w:val="表头编号 Char"/>
    <w:basedOn w:val="29"/>
    <w:link w:val="70"/>
    <w:qFormat/>
    <w:uiPriority w:val="0"/>
    <w:rPr>
      <w:rFonts w:ascii="Times New Roman" w:hAnsi="Times New Roman" w:eastAsia="宋体" w:cs="Times New Roman"/>
      <w:sz w:val="24"/>
      <w:szCs w:val="24"/>
    </w:rPr>
  </w:style>
  <w:style w:type="paragraph" w:customStyle="1" w:styleId="72">
    <w:name w:val="无间隔1"/>
    <w:basedOn w:val="1"/>
    <w:qFormat/>
    <w:uiPriority w:val="1"/>
    <w:pPr>
      <w:wordWrap/>
      <w:overflowPunct/>
      <w:topLinePunct w:val="0"/>
      <w:autoSpaceDE/>
      <w:autoSpaceDN/>
      <w:spacing w:line="400" w:lineRule="exact"/>
      <w:ind w:firstLine="1124"/>
      <w:textAlignment w:val="auto"/>
    </w:pPr>
    <w:rPr>
      <w:rFonts w:ascii="Times New Roman"/>
      <w:kern w:val="2"/>
      <w:szCs w:val="28"/>
    </w:rPr>
  </w:style>
  <w:style w:type="paragraph" w:customStyle="1" w:styleId="73">
    <w:name w:val="TOC 标题2"/>
    <w:basedOn w:val="9"/>
    <w:next w:val="1"/>
    <w:unhideWhenUsed/>
    <w:qFormat/>
    <w:uiPriority w:val="39"/>
    <w:pPr>
      <w:numPr>
        <w:numId w:val="0"/>
      </w:numPr>
      <w:wordWrap w:val="0"/>
      <w:overflowPunct w:val="0"/>
      <w:topLinePunct/>
      <w:autoSpaceDE w:val="0"/>
      <w:autoSpaceDN w:val="0"/>
      <w:spacing w:before="340" w:after="330" w:line="578" w:lineRule="auto"/>
      <w:ind w:firstLine="200" w:firstLineChars="200"/>
      <w:textAlignment w:val="top"/>
      <w:outlineLvl w:val="9"/>
    </w:pPr>
    <w:rPr>
      <w:rFonts w:ascii="宋体"/>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5519</Words>
  <Characters>6133</Characters>
  <Lines>181</Lines>
  <Paragraphs>51</Paragraphs>
  <TotalTime>32</TotalTime>
  <ScaleCrop>false</ScaleCrop>
  <LinksUpToDate>false</LinksUpToDate>
  <CharactersWithSpaces>6350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2020-11-05T02:44:00Z</dcterms:created>
  <dc:creator>hj</dc:creator>
  <cp:lastModifiedBy>果子</cp:lastModifiedBy>
  <cp:lastPrinted>2023-09-12T03:25:00Z</cp:lastPrinted>
  <dcterms:modified xsi:type="dcterms:W3CDTF">2025-04-22T02:14:01Z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C39EA8F477D04B4A8D4119A27E1859E2_13</vt:lpwstr>
  </property>
  <property fmtid="{D5CDD505-2E9C-101B-9397-08002B2CF9AE}" pid="4" name="KSOTemplateDocerSaveRecord">
    <vt:lpwstr>eyJoZGlkIjoiODc1ODY5ODY1OWNiMDA5MjJhOTU4YjVlZTY0N2MwMTkiLCJ1c2VySWQiOiIyNzUyNTk2MTIifQ==</vt:lpwstr>
  </property>
</Properties>
</file>