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50"/>
          <w:tab w:val="center" w:pos="4422"/>
        </w:tabs>
        <w:ind w:firstLine="640"/>
        <w:jc w:val="center"/>
        <w:rPr>
          <w:rFonts w:cs="Times New Roman"/>
          <w:color w:val="00000A"/>
        </w:rPr>
      </w:pPr>
      <w:bookmarkStart w:id="0" w:name="OLE_LINK153"/>
    </w:p>
    <w:p>
      <w:pPr>
        <w:tabs>
          <w:tab w:val="left" w:pos="2250"/>
          <w:tab w:val="center" w:pos="4422"/>
        </w:tabs>
        <w:ind w:firstLine="640"/>
        <w:jc w:val="center"/>
        <w:rPr>
          <w:rFonts w:cs="Times New Roman"/>
          <w:color w:val="00000A"/>
        </w:rPr>
      </w:pPr>
    </w:p>
    <w:p>
      <w:pPr>
        <w:tabs>
          <w:tab w:val="left" w:pos="1680"/>
          <w:tab w:val="left" w:pos="1890"/>
          <w:tab w:val="left" w:pos="2250"/>
          <w:tab w:val="center" w:pos="4422"/>
        </w:tabs>
        <w:ind w:firstLine="640"/>
        <w:jc w:val="center"/>
        <w:rPr>
          <w:rFonts w:cs="Times New Roman"/>
          <w:color w:val="00000A"/>
        </w:rPr>
      </w:pPr>
    </w:p>
    <w:p>
      <w:pPr>
        <w:tabs>
          <w:tab w:val="left" w:pos="2250"/>
          <w:tab w:val="center" w:pos="4422"/>
        </w:tabs>
        <w:ind w:firstLine="640"/>
        <w:jc w:val="center"/>
        <w:rPr>
          <w:rFonts w:cs="Times New Roman"/>
          <w:color w:val="00000A"/>
        </w:rPr>
      </w:pPr>
    </w:p>
    <w:p>
      <w:pPr>
        <w:tabs>
          <w:tab w:val="left" w:pos="2250"/>
          <w:tab w:val="center" w:pos="4422"/>
        </w:tabs>
        <w:ind w:firstLine="640"/>
        <w:jc w:val="center"/>
        <w:rPr>
          <w:rFonts w:cs="Times New Roman"/>
          <w:color w:val="00000A"/>
        </w:rPr>
      </w:pPr>
    </w:p>
    <w:p>
      <w:pPr>
        <w:tabs>
          <w:tab w:val="left" w:pos="2250"/>
          <w:tab w:val="center" w:pos="4422"/>
        </w:tabs>
        <w:ind w:firstLine="640"/>
        <w:jc w:val="center"/>
        <w:rPr>
          <w:rFonts w:cs="Times New Roman"/>
          <w:color w:val="00000A"/>
        </w:rPr>
      </w:pPr>
    </w:p>
    <w:p>
      <w:pPr>
        <w:tabs>
          <w:tab w:val="left" w:pos="2250"/>
          <w:tab w:val="center" w:pos="4422"/>
        </w:tabs>
        <w:ind w:firstLine="640"/>
        <w:jc w:val="center"/>
        <w:rPr>
          <w:rFonts w:cs="Times New Roman"/>
          <w:color w:val="00000A"/>
        </w:rPr>
      </w:pPr>
    </w:p>
    <w:p>
      <w:pPr>
        <w:adjustRightInd w:val="0"/>
        <w:snapToGrid w:val="0"/>
        <w:ind w:firstLine="640"/>
        <w:jc w:val="center"/>
        <w:rPr>
          <w:rFonts w:cs="Times New Roman"/>
          <w:color w:val="00000A"/>
        </w:rPr>
      </w:pPr>
      <w:r>
        <w:rPr>
          <w:rFonts w:cs="Times New Roman"/>
          <w:color w:val="00000A"/>
        </w:rPr>
        <w:t>云农发〔2022〕</w:t>
      </w:r>
      <w:r>
        <w:rPr>
          <w:rFonts w:hint="eastAsia" w:cs="Times New Roman"/>
          <w:color w:val="00000A"/>
          <w:lang w:val="en-US" w:eastAsia="zh-CN"/>
        </w:rPr>
        <w:t>123</w:t>
      </w:r>
      <w:r>
        <w:rPr>
          <w:rFonts w:cs="Times New Roman"/>
          <w:color w:val="00000A"/>
        </w:rPr>
        <w:t>号</w:t>
      </w:r>
    </w:p>
    <w:p>
      <w:pPr>
        <w:tabs>
          <w:tab w:val="left" w:pos="2250"/>
          <w:tab w:val="center" w:pos="4422"/>
        </w:tabs>
        <w:ind w:firstLine="640"/>
        <w:jc w:val="center"/>
        <w:rPr>
          <w:rFonts w:cs="Times New Roman"/>
          <w:color w:val="00000A"/>
        </w:rPr>
      </w:pPr>
    </w:p>
    <w:p>
      <w:pPr>
        <w:tabs>
          <w:tab w:val="left" w:pos="2250"/>
          <w:tab w:val="center" w:pos="4422"/>
        </w:tabs>
        <w:ind w:firstLine="640"/>
        <w:jc w:val="center"/>
        <w:rPr>
          <w:rFonts w:cs="Times New Roman"/>
          <w:color w:val="00000A"/>
        </w:rPr>
      </w:pPr>
    </w:p>
    <w:bookmarkEnd w:id="0"/>
    <w:p>
      <w:pPr>
        <w:spacing w:line="640" w:lineRule="exact"/>
        <w:ind w:firstLine="0" w:firstLineChars="0"/>
        <w:jc w:val="center"/>
        <w:rPr>
          <w:rFonts w:eastAsia="方正小标宋_GBK" w:cs="Times New Roman"/>
          <w:color w:val="000000"/>
          <w:sz w:val="44"/>
          <w:szCs w:val="44"/>
        </w:rPr>
      </w:pPr>
      <w:r>
        <w:rPr>
          <w:rFonts w:eastAsia="方正小标宋_GBK" w:cs="Times New Roman"/>
          <w:color w:val="000000"/>
          <w:sz w:val="44"/>
          <w:szCs w:val="44"/>
          <w:lang w:bidi="ar"/>
        </w:rPr>
        <w:t>云阳县农业农村委员会</w:t>
      </w:r>
    </w:p>
    <w:p>
      <w:pPr>
        <w:spacing w:line="640" w:lineRule="exact"/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eastAsia="方正小标宋_GBK" w:cs="Times New Roman"/>
          <w:color w:val="000000"/>
          <w:sz w:val="44"/>
          <w:szCs w:val="44"/>
          <w:lang w:bidi="ar"/>
        </w:rPr>
        <w:t>关于</w:t>
      </w:r>
      <w:r>
        <w:rPr>
          <w:rFonts w:hint="eastAsia" w:eastAsia="方正小标宋_GBK" w:cs="Times New Roman"/>
          <w:color w:val="000000"/>
          <w:sz w:val="44"/>
          <w:szCs w:val="44"/>
          <w:lang w:bidi="ar"/>
        </w:rPr>
        <w:t>印发</w:t>
      </w:r>
      <w:bookmarkStart w:id="1" w:name="OLE_LINK156"/>
      <w:r>
        <w:rPr>
          <w:rFonts w:hint="eastAsia" w:eastAsia="方正小标宋_GBK" w:cs="Times New Roman"/>
          <w:color w:val="000000"/>
          <w:sz w:val="44"/>
          <w:szCs w:val="44"/>
          <w:lang w:bidi="ar"/>
        </w:rPr>
        <w:t>《</w:t>
      </w:r>
      <w:bookmarkStart w:id="2" w:name="OLE_LINK160"/>
      <w:r>
        <w:rPr>
          <w:rFonts w:hint="eastAsia" w:ascii="方正小标宋_GBK" w:eastAsia="方正小标宋_GBK"/>
          <w:sz w:val="44"/>
          <w:szCs w:val="44"/>
        </w:rPr>
        <w:t>云阳县农业农村工作提能升级</w:t>
      </w:r>
    </w:p>
    <w:p>
      <w:pPr>
        <w:spacing w:line="640" w:lineRule="exact"/>
        <w:ind w:firstLine="0" w:firstLineChars="0"/>
        <w:jc w:val="center"/>
        <w:rPr>
          <w:rFonts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三年行动计划</w:t>
      </w:r>
      <w:bookmarkEnd w:id="2"/>
      <w:r>
        <w:rPr>
          <w:rFonts w:hint="eastAsia" w:eastAsia="方正小标宋_GBK" w:cs="Times New Roman"/>
          <w:color w:val="000000"/>
          <w:sz w:val="44"/>
          <w:szCs w:val="44"/>
          <w:lang w:bidi="ar"/>
        </w:rPr>
        <w:t>》</w:t>
      </w:r>
      <w:bookmarkEnd w:id="1"/>
      <w:r>
        <w:rPr>
          <w:rFonts w:eastAsia="方正小标宋_GBK" w:cs="Times New Roman"/>
          <w:color w:val="000000"/>
          <w:sz w:val="44"/>
          <w:szCs w:val="44"/>
          <w:lang w:bidi="ar"/>
        </w:rPr>
        <w:t>的通知</w:t>
      </w:r>
    </w:p>
    <w:p>
      <w:pPr>
        <w:spacing w:line="540" w:lineRule="exact"/>
        <w:ind w:firstLine="640"/>
        <w:rPr>
          <w:rFonts w:cs="Times New Roman"/>
        </w:rPr>
      </w:pPr>
    </w:p>
    <w:p>
      <w:pPr>
        <w:adjustRightInd w:val="0"/>
        <w:snapToGrid w:val="0"/>
        <w:spacing w:line="540" w:lineRule="exact"/>
        <w:ind w:firstLine="0" w:firstLineChars="0"/>
        <w:rPr>
          <w:rFonts w:cs="Times New Roman"/>
        </w:rPr>
      </w:pPr>
      <w:r>
        <w:rPr>
          <w:rFonts w:hint="eastAsia"/>
        </w:rPr>
        <w:t>各乡镇（街道）、县畜牧发展中心、县果品产业发展中心、县农业综合行政执法支队，委机关各科室、事业单位</w:t>
      </w:r>
      <w:r>
        <w:rPr>
          <w:rFonts w:cs="Times New Roman"/>
          <w:lang w:bidi="ar"/>
        </w:rPr>
        <w:t>：</w:t>
      </w:r>
    </w:p>
    <w:p>
      <w:pPr>
        <w:spacing w:line="540" w:lineRule="exact"/>
        <w:ind w:firstLine="628"/>
        <w:rPr>
          <w:szCs w:val="21"/>
        </w:rPr>
      </w:pPr>
      <w:r>
        <w:rPr>
          <w:rFonts w:hint="eastAsia"/>
          <w:spacing w:val="-6"/>
        </w:rPr>
        <w:t>《云阳县农业农村工作提能升级三年行动计划》已经县第十八届人民政府第</w:t>
      </w:r>
      <w:r>
        <w:rPr>
          <w:spacing w:val="-6"/>
        </w:rPr>
        <w:t>19</w:t>
      </w:r>
      <w:r>
        <w:rPr>
          <w:rFonts w:hint="eastAsia"/>
          <w:spacing w:val="-6"/>
        </w:rPr>
        <w:t>次常务会议审议通过，现印发给你们，</w:t>
      </w:r>
      <w:r>
        <w:t>请认真贯彻落实。</w:t>
      </w:r>
    </w:p>
    <w:p>
      <w:pPr>
        <w:autoSpaceDE w:val="0"/>
        <w:spacing w:line="540" w:lineRule="exact"/>
        <w:ind w:firstLine="640"/>
        <w:rPr>
          <w:color w:val="000000"/>
          <w:kern w:val="0"/>
        </w:rPr>
      </w:pPr>
    </w:p>
    <w:p>
      <w:pPr>
        <w:spacing w:line="540" w:lineRule="exact"/>
        <w:ind w:firstLine="4960" w:firstLineChars="1550"/>
      </w:pPr>
      <w:r>
        <w:t>云阳县</w:t>
      </w:r>
      <w:r>
        <w:rPr>
          <w:rFonts w:hint="eastAsia"/>
        </w:rPr>
        <w:t>农业农村</w:t>
      </w:r>
      <w:r>
        <w:t>委员会</w:t>
      </w:r>
    </w:p>
    <w:p>
      <w:pPr>
        <w:spacing w:line="540" w:lineRule="exact"/>
        <w:ind w:firstLine="5318" w:firstLineChars="1662"/>
        <w:rPr>
          <w:rFonts w:cs="Times New Roman"/>
          <w:lang w:bidi="ar"/>
        </w:rPr>
      </w:pPr>
      <w:r>
        <w:t>2022年10月17日</w:t>
      </w:r>
      <w:r>
        <w:rPr>
          <w:rFonts w:cs="Times New Roman"/>
          <w:lang w:bidi="ar"/>
        </w:rPr>
        <w:br w:type="page"/>
      </w:r>
    </w:p>
    <w:p>
      <w:pPr>
        <w:spacing w:line="720" w:lineRule="exact"/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  <w:bookmarkStart w:id="3" w:name="OLE_LINK155"/>
      <w:r>
        <w:rPr>
          <w:rFonts w:hint="eastAsia" w:ascii="方正小标宋_GBK" w:eastAsia="方正小标宋_GBK"/>
          <w:sz w:val="44"/>
          <w:szCs w:val="44"/>
        </w:rPr>
        <w:t>云阳县农业农村工作提能升级三年行动计划</w:t>
      </w:r>
    </w:p>
    <w:bookmarkEnd w:id="3"/>
    <w:p>
      <w:pPr>
        <w:ind w:firstLine="640"/>
      </w:pPr>
    </w:p>
    <w:p>
      <w:pPr>
        <w:ind w:firstLine="640"/>
      </w:pPr>
      <w:r>
        <w:rPr>
          <w:rFonts w:hint="eastAsia"/>
        </w:rPr>
        <w:t>2022—2</w:t>
      </w:r>
      <w:r>
        <w:t>024</w:t>
      </w:r>
      <w:r>
        <w:rPr>
          <w:rFonts w:hint="eastAsia"/>
        </w:rPr>
        <w:t>年是接续全面推进乡村振兴、持续巩固拓展脱贫攻坚成果的重要三年，做好农业农村工作意义重大。云阳县农业农村委员会将深入贯彻习近平总书记关于</w:t>
      </w:r>
      <w:r>
        <w:rPr>
          <w:rFonts w:hint="eastAsia" w:ascii="方正仿宋_GBK" w:hAnsi="方正仿宋_GBK"/>
        </w:rPr>
        <w:t>“</w:t>
      </w:r>
      <w:r>
        <w:rPr>
          <w:rFonts w:hint="eastAsia"/>
        </w:rPr>
        <w:t>三农</w:t>
      </w:r>
      <w:r>
        <w:rPr>
          <w:rFonts w:hint="eastAsia" w:ascii="方正仿宋_GBK" w:hAnsi="方正仿宋_GBK"/>
        </w:rPr>
        <w:t>”</w:t>
      </w:r>
      <w:r>
        <w:rPr>
          <w:rFonts w:hint="eastAsia"/>
        </w:rPr>
        <w:t>工作的重要论述和市委、县委对</w:t>
      </w:r>
      <w:r>
        <w:rPr>
          <w:rFonts w:hint="eastAsia" w:ascii="方正仿宋_GBK" w:hAnsi="方正仿宋_GBK"/>
        </w:rPr>
        <w:t>“</w:t>
      </w:r>
      <w:r>
        <w:rPr>
          <w:rFonts w:hint="eastAsia"/>
        </w:rPr>
        <w:t>三农</w:t>
      </w:r>
      <w:r>
        <w:rPr>
          <w:rFonts w:hint="eastAsia" w:ascii="方正仿宋_GBK" w:hAnsi="方正仿宋_GBK"/>
        </w:rPr>
        <w:t>”</w:t>
      </w:r>
      <w:r>
        <w:rPr>
          <w:rFonts w:hint="eastAsia"/>
        </w:rPr>
        <w:t>工作作出的全面部署</w:t>
      </w:r>
      <w:r>
        <w:rPr>
          <w:rFonts w:cs="Times New Roman"/>
        </w:rPr>
        <w:t>，</w:t>
      </w:r>
      <w:r>
        <w:rPr>
          <w:rFonts w:hint="eastAsia"/>
        </w:rPr>
        <w:t>以</w:t>
      </w:r>
      <w:r>
        <w:rPr>
          <w:rFonts w:hint="eastAsia" w:ascii="方正仿宋_GBK" w:hAnsi="方正仿宋_GBK"/>
        </w:rPr>
        <w:t>“</w:t>
      </w:r>
      <w:r>
        <w:rPr>
          <w:rFonts w:hint="eastAsia"/>
        </w:rPr>
        <w:t>稳粮保供给、强链提质量、创新添动能、统筹促振兴</w:t>
      </w:r>
      <w:r>
        <w:rPr>
          <w:rFonts w:hint="eastAsia" w:ascii="方正仿宋_GBK" w:hAnsi="方正仿宋_GBK"/>
        </w:rPr>
        <w:t>”</w:t>
      </w:r>
      <w:r>
        <w:rPr>
          <w:rFonts w:hint="eastAsia"/>
        </w:rPr>
        <w:t>为工作主</w:t>
      </w:r>
      <w:r>
        <w:rPr>
          <w:rFonts w:hint="eastAsia"/>
          <w:spacing w:val="-6"/>
        </w:rPr>
        <w:t>线，突出抓好</w:t>
      </w:r>
      <w:r>
        <w:rPr>
          <w:rFonts w:hint="eastAsia" w:ascii="方正仿宋_GBK" w:hAnsi="方正仿宋_GBK"/>
          <w:spacing w:val="-6"/>
        </w:rPr>
        <w:t>“</w:t>
      </w:r>
      <w:r>
        <w:rPr>
          <w:rFonts w:hint="eastAsia"/>
          <w:spacing w:val="-6"/>
        </w:rPr>
        <w:t>四大行动</w:t>
      </w:r>
      <w:bookmarkStart w:id="4" w:name="OLE_LINK152"/>
      <w:r>
        <w:rPr>
          <w:rFonts w:hint="eastAsia" w:ascii="方正仿宋_GBK" w:hAnsi="方正仿宋_GBK"/>
          <w:spacing w:val="-6"/>
        </w:rPr>
        <w:t>”</w:t>
      </w:r>
      <w:bookmarkEnd w:id="4"/>
      <w:r>
        <w:rPr>
          <w:rFonts w:hint="eastAsia"/>
          <w:spacing w:val="-6"/>
        </w:rPr>
        <w:t>，促进农业增产、农民增收、农村增美。</w:t>
      </w:r>
    </w:p>
    <w:p>
      <w:pPr>
        <w:ind w:firstLine="640"/>
        <w:rPr>
          <w:rFonts w:ascii="方正黑体_GBK" w:eastAsia="方正黑体_GBK"/>
        </w:rPr>
      </w:pPr>
      <w:bookmarkStart w:id="5" w:name="OLE_LINK35"/>
      <w:r>
        <w:rPr>
          <w:rFonts w:hint="eastAsia" w:ascii="方正黑体_GBK" w:eastAsia="方正黑体_GBK"/>
        </w:rPr>
        <w:t>一、</w:t>
      </w:r>
      <w:bookmarkStart w:id="6" w:name="OLE_LINK169"/>
      <w:r>
        <w:rPr>
          <w:rFonts w:hint="eastAsia" w:ascii="方正黑体_GBK" w:eastAsia="方正黑体_GBK"/>
        </w:rPr>
        <w:t>围绕“底线性任务”，</w:t>
      </w:r>
      <w:bookmarkStart w:id="7" w:name="OLE_LINK162"/>
      <w:r>
        <w:rPr>
          <w:rFonts w:hint="eastAsia" w:ascii="方正黑体_GBK" w:eastAsia="方正黑体_GBK"/>
        </w:rPr>
        <w:t>实施农业稳产保供提升行动</w:t>
      </w:r>
      <w:bookmarkEnd w:id="5"/>
      <w:bookmarkEnd w:id="6"/>
      <w:bookmarkEnd w:id="7"/>
    </w:p>
    <w:p>
      <w:pPr>
        <w:ind w:firstLine="640"/>
        <w:rPr>
          <w:rFonts w:ascii="方正楷体_GBK" w:eastAsia="方正楷体_GBK"/>
        </w:rPr>
      </w:pPr>
      <w:r>
        <w:rPr>
          <w:rFonts w:hint="eastAsia" w:ascii="方正楷体_GBK" w:eastAsia="方正楷体_GBK"/>
        </w:rPr>
        <w:t>（一）千方百计稳定粮食生产。</w:t>
      </w:r>
    </w:p>
    <w:p>
      <w:pPr>
        <w:ind w:firstLine="640"/>
        <w:rPr>
          <w:rFonts w:ascii="方正楷体_GBK" w:eastAsia="方正楷体_GBK"/>
        </w:rPr>
      </w:pPr>
      <w:r>
        <w:rPr>
          <w:rFonts w:hint="eastAsia"/>
        </w:rPr>
        <w:t>工作目标：粮食生产在保持稳定的基础上，每年实现0.1</w:t>
      </w:r>
      <w:r>
        <w:rPr>
          <w:rFonts w:cs="Times New Roman"/>
        </w:rPr>
        <w:t>%</w:t>
      </w:r>
      <w:r>
        <w:rPr>
          <w:rFonts w:hint="eastAsia"/>
        </w:rPr>
        <w:t>左右的增长，到2024年，</w:t>
      </w:r>
      <w:bookmarkStart w:id="8" w:name="OLE_LINK31"/>
      <w:r>
        <w:rPr>
          <w:rFonts w:hint="eastAsia"/>
        </w:rPr>
        <w:t>全县粮食播种面积稳定在136万亩以上、年产量达到41.2万吨</w:t>
      </w:r>
      <w:bookmarkEnd w:id="8"/>
      <w:r>
        <w:rPr>
          <w:rFonts w:hint="eastAsia"/>
        </w:rPr>
        <w:t>。</w:t>
      </w:r>
    </w:p>
    <w:p>
      <w:pPr>
        <w:ind w:firstLine="640"/>
      </w:pPr>
      <w:r>
        <w:rPr>
          <w:rFonts w:hint="eastAsia"/>
        </w:rPr>
        <w:t>具体措施：</w:t>
      </w:r>
      <w:r>
        <w:rPr>
          <w:rFonts w:hint="eastAsia"/>
          <w:b/>
          <w:bCs/>
        </w:rPr>
        <w:t>一是</w:t>
      </w:r>
      <w:r>
        <w:rPr>
          <w:rFonts w:hint="eastAsia"/>
          <w:b/>
          <w:bCs/>
          <w:spacing w:val="4"/>
        </w:rPr>
        <w:t>稳面积。</w:t>
      </w:r>
      <w:bookmarkStart w:id="9" w:name="OLE_LINK26"/>
      <w:r>
        <w:rPr>
          <w:rFonts w:hint="eastAsia"/>
        </w:rPr>
        <w:t>压紧压实粮食生产责任，深挖撂荒地利用潜力，全县撂荒地图斑实现全面清零。</w:t>
      </w:r>
      <w:bookmarkEnd w:id="9"/>
      <w:r>
        <w:rPr>
          <w:rFonts w:hint="eastAsia"/>
          <w:b/>
          <w:bCs/>
        </w:rPr>
        <w:t>二是</w:t>
      </w:r>
      <w:bookmarkStart w:id="10" w:name="OLE_LINK27"/>
      <w:r>
        <w:rPr>
          <w:rFonts w:hint="eastAsia"/>
          <w:b/>
          <w:bCs/>
        </w:rPr>
        <w:t>攻单产</w:t>
      </w:r>
      <w:bookmarkEnd w:id="10"/>
      <w:r>
        <w:rPr>
          <w:rFonts w:hint="eastAsia"/>
          <w:b/>
          <w:bCs/>
        </w:rPr>
        <w:t>。</w:t>
      </w:r>
      <w:bookmarkStart w:id="11" w:name="OLE_LINK29"/>
      <w:r>
        <w:rPr>
          <w:rFonts w:hint="eastAsia"/>
        </w:rPr>
        <w:t>加大良种、良技、良法推广力度，每年开展粮食绿色高质高效示范片创建，提高复种指数，带动大面积平衡增产</w:t>
      </w:r>
      <w:bookmarkEnd w:id="11"/>
      <w:r>
        <w:rPr>
          <w:rFonts w:hint="eastAsia"/>
        </w:rPr>
        <w:t>。</w:t>
      </w:r>
      <w:r>
        <w:rPr>
          <w:rFonts w:hint="eastAsia"/>
          <w:b/>
          <w:bCs/>
        </w:rPr>
        <w:t>三是</w:t>
      </w:r>
      <w:bookmarkStart w:id="12" w:name="OLE_LINK28"/>
      <w:r>
        <w:rPr>
          <w:rFonts w:hint="eastAsia"/>
          <w:b/>
          <w:bCs/>
        </w:rPr>
        <w:t>增效益</w:t>
      </w:r>
      <w:bookmarkEnd w:id="12"/>
      <w:r>
        <w:rPr>
          <w:rFonts w:hint="eastAsia"/>
          <w:b/>
          <w:bCs/>
        </w:rPr>
        <w:t>。</w:t>
      </w:r>
      <w:bookmarkStart w:id="13" w:name="OLE_LINK30"/>
      <w:r>
        <w:rPr>
          <w:rFonts w:hint="eastAsia"/>
        </w:rPr>
        <w:t>加强种粮大户培育，每年培育5</w:t>
      </w:r>
      <w:r>
        <w:t>0</w:t>
      </w:r>
      <w:r>
        <w:rPr>
          <w:rFonts w:hint="eastAsia"/>
        </w:rPr>
        <w:t>亩以上种粮大户和3</w:t>
      </w:r>
      <w:r>
        <w:t>0</w:t>
      </w:r>
      <w:r>
        <w:rPr>
          <w:rFonts w:hint="eastAsia"/>
        </w:rPr>
        <w:t>亩以上小规模粮油种植户16</w:t>
      </w:r>
      <w:r>
        <w:t>0</w:t>
      </w:r>
      <w:r>
        <w:rPr>
          <w:rFonts w:hint="eastAsia"/>
        </w:rPr>
        <w:t>户。创新经营方式，</w:t>
      </w:r>
      <w:r>
        <w:rPr>
          <w:rFonts w:cs="Times New Roman"/>
          <w:szCs w:val="36"/>
        </w:rPr>
        <w:t>支持农民合作社</w:t>
      </w:r>
      <w:r>
        <w:rPr>
          <w:rFonts w:hint="eastAsia" w:cs="Times New Roman"/>
          <w:szCs w:val="36"/>
        </w:rPr>
        <w:t>、家庭农场</w:t>
      </w:r>
      <w:r>
        <w:rPr>
          <w:rFonts w:cs="Times New Roman"/>
          <w:szCs w:val="36"/>
        </w:rPr>
        <w:t>发展粮食适度规模经营</w:t>
      </w:r>
      <w:r>
        <w:rPr>
          <w:rFonts w:hint="eastAsia" w:cs="Times New Roman"/>
          <w:szCs w:val="36"/>
        </w:rPr>
        <w:t>，开展</w:t>
      </w:r>
      <w:r>
        <w:rPr>
          <w:rFonts w:cs="Times New Roman"/>
          <w:szCs w:val="36"/>
        </w:rPr>
        <w:t>代耕代种、统防统治、土地托管等农业生产社会</w:t>
      </w:r>
      <w:r>
        <w:rPr>
          <w:rFonts w:hint="eastAsia" w:cs="Times New Roman"/>
          <w:szCs w:val="36"/>
        </w:rPr>
        <w:t>化</w:t>
      </w:r>
      <w:r>
        <w:rPr>
          <w:rFonts w:cs="Times New Roman"/>
          <w:szCs w:val="36"/>
        </w:rPr>
        <w:t>服务，提高种粮规模效益</w:t>
      </w:r>
      <w:bookmarkEnd w:id="13"/>
      <w:r>
        <w:rPr>
          <w:rFonts w:hint="eastAsia"/>
        </w:rPr>
        <w:t>。</w:t>
      </w:r>
    </w:p>
    <w:p>
      <w:pPr>
        <w:ind w:firstLine="640"/>
        <w:rPr>
          <w:rFonts w:ascii="方正楷体_GBK" w:eastAsia="方正楷体_GBK"/>
        </w:rPr>
      </w:pPr>
      <w:r>
        <w:rPr>
          <w:rFonts w:hint="eastAsia" w:ascii="方正楷体_GBK" w:eastAsia="方正楷体_GBK"/>
        </w:rPr>
        <w:t>（二）</w:t>
      </w:r>
      <w:bookmarkStart w:id="14" w:name="OLE_LINK36"/>
      <w:r>
        <w:rPr>
          <w:rFonts w:hint="eastAsia" w:ascii="方正楷体_GBK" w:eastAsia="方正楷体_GBK"/>
        </w:rPr>
        <w:t>促进生猪产业平稳健康发展</w:t>
      </w:r>
      <w:bookmarkEnd w:id="14"/>
      <w:r>
        <w:rPr>
          <w:rFonts w:hint="eastAsia" w:ascii="方正楷体_GBK" w:eastAsia="方正楷体_GBK"/>
        </w:rPr>
        <w:t>。</w:t>
      </w:r>
    </w:p>
    <w:p>
      <w:pPr>
        <w:ind w:firstLine="640"/>
      </w:pPr>
      <w:r>
        <w:rPr>
          <w:rFonts w:hint="eastAsia"/>
        </w:rPr>
        <w:t>工作目标：生猪生产供应量稳定增长，现代化水平明显提升，到202</w:t>
      </w:r>
      <w:r>
        <w:t>4</w:t>
      </w:r>
      <w:r>
        <w:rPr>
          <w:rFonts w:hint="eastAsia"/>
        </w:rPr>
        <w:t>年，</w:t>
      </w:r>
      <w:bookmarkStart w:id="15" w:name="OLE_LINK43"/>
      <w:r>
        <w:t>全县生猪</w:t>
      </w:r>
      <w:r>
        <w:rPr>
          <w:rFonts w:hint="eastAsia"/>
        </w:rPr>
        <w:t>年</w:t>
      </w:r>
      <w:r>
        <w:t>出栏</w:t>
      </w:r>
      <w:r>
        <w:rPr>
          <w:rFonts w:hint="eastAsia"/>
        </w:rPr>
        <w:t>量达到9</w:t>
      </w:r>
      <w:r>
        <w:t>4</w:t>
      </w:r>
      <w:r>
        <w:rPr>
          <w:rFonts w:hint="eastAsia"/>
        </w:rPr>
        <w:t>万头、较2021年增长5</w:t>
      </w:r>
      <w:r>
        <w:rPr>
          <w:rFonts w:cs="Times New Roman"/>
        </w:rPr>
        <w:t>%</w:t>
      </w:r>
      <w:r>
        <w:rPr>
          <w:rFonts w:hint="eastAsia"/>
        </w:rPr>
        <w:t>，出栏量稳定在全市前3位，生猪养殖规模化率达到50</w:t>
      </w:r>
      <w:r>
        <w:rPr>
          <w:rFonts w:cs="Times New Roman"/>
        </w:rPr>
        <w:t>%</w:t>
      </w:r>
      <w:r>
        <w:rPr>
          <w:rFonts w:hint="eastAsia"/>
        </w:rPr>
        <w:t>以上、较2021年提高20个百分点</w:t>
      </w:r>
      <w:bookmarkEnd w:id="15"/>
      <w:r>
        <w:rPr>
          <w:rFonts w:hint="eastAsia"/>
        </w:rPr>
        <w:t>。</w:t>
      </w:r>
    </w:p>
    <w:p>
      <w:pPr>
        <w:ind w:firstLine="640"/>
        <w:rPr>
          <w:highlight w:val="yellow"/>
        </w:rPr>
      </w:pPr>
      <w:r>
        <w:rPr>
          <w:rFonts w:hint="eastAsia"/>
        </w:rPr>
        <w:t>具体措施：</w:t>
      </w:r>
      <w:r>
        <w:rPr>
          <w:rFonts w:hint="eastAsia" w:cs="Times New Roman"/>
          <w:b/>
          <w:bCs/>
          <w:szCs w:val="36"/>
        </w:rPr>
        <w:t>一是</w:t>
      </w:r>
      <w:bookmarkStart w:id="16" w:name="OLE_LINK37"/>
      <w:r>
        <w:rPr>
          <w:rFonts w:hint="eastAsia" w:cs="Times New Roman"/>
          <w:b/>
          <w:bCs/>
          <w:szCs w:val="36"/>
        </w:rPr>
        <w:t>加快生猪种业体系建设</w:t>
      </w:r>
      <w:bookmarkEnd w:id="16"/>
      <w:r>
        <w:rPr>
          <w:rFonts w:hint="eastAsia" w:cs="Times New Roman"/>
          <w:b/>
          <w:bCs/>
          <w:szCs w:val="36"/>
        </w:rPr>
        <w:t>。</w:t>
      </w:r>
      <w:bookmarkStart w:id="17" w:name="OLE_LINK40"/>
      <w:r>
        <w:rPr>
          <w:rFonts w:hint="eastAsia" w:cs="Times New Roman"/>
          <w:szCs w:val="36"/>
        </w:rPr>
        <w:t>完善生猪种繁基地配套设施，建设规模适度、设施一流、品种优良的现代化种猪场3个，提升生猪供种能力</w:t>
      </w:r>
      <w:bookmarkEnd w:id="17"/>
      <w:r>
        <w:rPr>
          <w:rFonts w:hint="eastAsia" w:cs="Times New Roman"/>
          <w:szCs w:val="36"/>
        </w:rPr>
        <w:t>。</w:t>
      </w:r>
      <w:r>
        <w:rPr>
          <w:rFonts w:hint="eastAsia" w:cs="Times New Roman"/>
          <w:b/>
          <w:bCs/>
          <w:szCs w:val="36"/>
        </w:rPr>
        <w:t>二是</w:t>
      </w:r>
      <w:bookmarkStart w:id="18" w:name="OLE_LINK38"/>
      <w:r>
        <w:rPr>
          <w:rFonts w:hint="eastAsia" w:cs="Times New Roman"/>
          <w:b/>
          <w:bCs/>
          <w:szCs w:val="36"/>
        </w:rPr>
        <w:t>加快标准化养殖场建设</w:t>
      </w:r>
      <w:bookmarkEnd w:id="18"/>
      <w:r>
        <w:rPr>
          <w:rFonts w:hint="eastAsia" w:cs="Times New Roman"/>
          <w:b/>
          <w:bCs/>
          <w:szCs w:val="36"/>
        </w:rPr>
        <w:t>。</w:t>
      </w:r>
      <w:bookmarkStart w:id="19" w:name="OLE_LINK41"/>
      <w:r>
        <w:rPr>
          <w:rFonts w:hint="eastAsia" w:ascii="方正仿宋_GBK"/>
        </w:rPr>
        <w:t>加强</w:t>
      </w:r>
      <w:r>
        <w:rPr>
          <w:rFonts w:ascii="方正仿宋_GBK"/>
        </w:rPr>
        <w:t>老旧生猪</w:t>
      </w:r>
      <w:r>
        <w:rPr>
          <w:rFonts w:hint="eastAsia" w:ascii="方正仿宋_GBK"/>
        </w:rPr>
        <w:t>规模场</w:t>
      </w:r>
      <w:r>
        <w:rPr>
          <w:rFonts w:ascii="方正仿宋_GBK"/>
        </w:rPr>
        <w:t>改造，提升生猪规模场设施化</w:t>
      </w:r>
      <w:r>
        <w:rPr>
          <w:rFonts w:hint="eastAsia" w:ascii="方正仿宋_GBK"/>
        </w:rPr>
        <w:t>水平。通过</w:t>
      </w:r>
      <w:r>
        <w:rPr>
          <w:rFonts w:hint="eastAsia" w:ascii="方正仿宋_GBK" w:hAnsi="方正仿宋_GBK"/>
        </w:rPr>
        <w:t>“</w:t>
      </w:r>
      <w:r>
        <w:rPr>
          <w:rFonts w:hint="eastAsia" w:ascii="方正仿宋_GBK"/>
        </w:rPr>
        <w:t>公司+合作组织+家庭农场</w:t>
      </w:r>
      <w:r>
        <w:rPr>
          <w:rFonts w:hint="eastAsia" w:ascii="方正仿宋_GBK" w:hAnsi="方正仿宋_GBK"/>
        </w:rPr>
        <w:t>”</w:t>
      </w:r>
      <w:r>
        <w:rPr>
          <w:rFonts w:hint="eastAsia" w:ascii="方正仿宋_GBK"/>
        </w:rPr>
        <w:t>等</w:t>
      </w:r>
      <w:r>
        <w:rPr>
          <w:rFonts w:hint="eastAsia" w:ascii="方正仿宋_GBK" w:hAnsi="方正仿宋_GBK"/>
        </w:rPr>
        <w:t>模式，扶持发展中小规模养猪场，优化全县生猪养殖和屠宰布局</w:t>
      </w:r>
      <w:bookmarkEnd w:id="19"/>
      <w:r>
        <w:rPr>
          <w:rFonts w:hint="eastAsia" w:ascii="方正仿宋_GBK" w:hAnsi="方正仿宋_GBK"/>
        </w:rPr>
        <w:t>。</w:t>
      </w:r>
      <w:r>
        <w:rPr>
          <w:rFonts w:hint="eastAsia" w:ascii="方正仿宋_GBK" w:hAnsi="方正仿宋_GBK"/>
          <w:b/>
          <w:bCs/>
        </w:rPr>
        <w:t>三是</w:t>
      </w:r>
      <w:bookmarkStart w:id="20" w:name="OLE_LINK39"/>
      <w:r>
        <w:rPr>
          <w:rFonts w:hint="eastAsia" w:ascii="方正仿宋_GBK" w:hAnsi="方正仿宋_GBK"/>
          <w:b/>
          <w:bCs/>
        </w:rPr>
        <w:t>加强生猪养殖风险防范</w:t>
      </w:r>
      <w:bookmarkEnd w:id="20"/>
      <w:r>
        <w:rPr>
          <w:rFonts w:hint="eastAsia" w:ascii="方正仿宋_GBK" w:hAnsi="方正仿宋_GBK"/>
          <w:b/>
          <w:bCs/>
        </w:rPr>
        <w:t>。</w:t>
      </w:r>
      <w:bookmarkStart w:id="21" w:name="OLE_LINK42"/>
      <w:r>
        <w:rPr>
          <w:rFonts w:hint="eastAsia" w:ascii="方正仿宋_GBK" w:hAnsi="方正仿宋_GBK"/>
        </w:rPr>
        <w:t>加强生猪生产监测预警，指导生猪规模养殖场科学合理安排生产，平稳释放生猪产能。探索开展生猪期货价格保险。毫不松懈抓好非洲猪瘟等重大动物疫病防控，确保全县清静无疫</w:t>
      </w:r>
      <w:bookmarkEnd w:id="21"/>
      <w:r>
        <w:rPr>
          <w:rFonts w:hint="eastAsia" w:ascii="方正仿宋_GBK" w:hAnsi="方正仿宋_GBK"/>
        </w:rPr>
        <w:t>。</w:t>
      </w:r>
    </w:p>
    <w:p>
      <w:pPr>
        <w:ind w:firstLine="640"/>
        <w:rPr>
          <w:u w:val="thick"/>
        </w:rPr>
      </w:pPr>
      <w:r>
        <w:rPr>
          <w:rFonts w:hint="eastAsia" w:ascii="方正楷体_GBK" w:eastAsia="方正楷体_GBK"/>
        </w:rPr>
        <w:t>（三）</w:t>
      </w:r>
      <w:bookmarkStart w:id="22" w:name="OLE_LINK45"/>
      <w:r>
        <w:rPr>
          <w:rFonts w:hint="eastAsia" w:ascii="方正楷体_GBK" w:eastAsia="方正楷体_GBK"/>
        </w:rPr>
        <w:t>提质发展蔬菜产业</w:t>
      </w:r>
      <w:bookmarkEnd w:id="22"/>
      <w:r>
        <w:rPr>
          <w:rFonts w:hint="eastAsia" w:ascii="方正楷体_GBK" w:eastAsia="方正楷体_GBK"/>
        </w:rPr>
        <w:t>。</w:t>
      </w:r>
    </w:p>
    <w:p>
      <w:pPr>
        <w:ind w:firstLine="640"/>
      </w:pPr>
      <w:r>
        <w:rPr>
          <w:rFonts w:hint="eastAsia"/>
        </w:rPr>
        <w:t>工作目标：到2024年，</w:t>
      </w:r>
      <w:bookmarkStart w:id="23" w:name="OLE_LINK49"/>
      <w:r>
        <w:rPr>
          <w:rFonts w:hint="eastAsia"/>
        </w:rPr>
        <w:t>全县蔬菜播种面积达到38万亩，总产量达到60万吨，较2021年分别增长5.5</w:t>
      </w:r>
      <w:r>
        <w:rPr>
          <w:rFonts w:cs="Times New Roman"/>
        </w:rPr>
        <w:t>%</w:t>
      </w:r>
      <w:r>
        <w:rPr>
          <w:rFonts w:hint="eastAsia"/>
        </w:rPr>
        <w:t>、14.9</w:t>
      </w:r>
      <w:r>
        <w:rPr>
          <w:rFonts w:cs="Times New Roman"/>
        </w:rPr>
        <w:t>%</w:t>
      </w:r>
      <w:r>
        <w:rPr>
          <w:rFonts w:hint="eastAsia"/>
        </w:rPr>
        <w:t>；蔬菜种植大户（露地10亩以上，大棚30亩以上）达到80户</w:t>
      </w:r>
      <w:bookmarkEnd w:id="23"/>
      <w:r>
        <w:rPr>
          <w:rFonts w:hint="eastAsia"/>
        </w:rPr>
        <w:t>。</w:t>
      </w:r>
    </w:p>
    <w:p>
      <w:pPr>
        <w:ind w:firstLine="640"/>
        <w:rPr>
          <w:rFonts w:ascii="方正仿宋_GBK" w:hAnsi="方正仿宋_GBK" w:cs="方正仿宋_GBK"/>
        </w:rPr>
      </w:pPr>
      <w:r>
        <w:rPr>
          <w:rFonts w:hint="eastAsia"/>
        </w:rPr>
        <w:t>具体措施：</w:t>
      </w:r>
      <w:r>
        <w:rPr>
          <w:rFonts w:hint="eastAsia"/>
          <w:b/>
          <w:bCs/>
        </w:rPr>
        <w:t>一是</w:t>
      </w:r>
      <w:bookmarkStart w:id="24" w:name="OLE_LINK46"/>
      <w:r>
        <w:rPr>
          <w:rFonts w:hint="eastAsia"/>
          <w:b/>
          <w:bCs/>
        </w:rPr>
        <w:t>实施蔬菜基地提升工程</w:t>
      </w:r>
      <w:bookmarkEnd w:id="24"/>
      <w:r>
        <w:rPr>
          <w:rFonts w:hint="eastAsia"/>
          <w:b/>
          <w:bCs/>
        </w:rPr>
        <w:t>。</w:t>
      </w:r>
      <w:bookmarkStart w:id="25" w:name="OLE_LINK50"/>
      <w:r>
        <w:rPr>
          <w:rFonts w:hint="eastAsia"/>
        </w:rPr>
        <w:t>围绕城乡消费需求，大力推进保供蔬菜基地及配套设施建设，打造城郊鲜销蔬菜、高山错季蔬菜、低山设施蔬菜、加工蔬菜和食用菌等5大蔬菜产业基地，提高蔬菜均衡供给能力</w:t>
      </w:r>
      <w:bookmarkEnd w:id="25"/>
      <w:r>
        <w:rPr>
          <w:rFonts w:hint="eastAsia"/>
        </w:rPr>
        <w:t>。</w:t>
      </w:r>
      <w:r>
        <w:rPr>
          <w:rFonts w:hint="eastAsia"/>
          <w:b/>
          <w:bCs/>
        </w:rPr>
        <w:t>二是</w:t>
      </w:r>
      <w:bookmarkStart w:id="26" w:name="OLE_LINK47"/>
      <w:r>
        <w:rPr>
          <w:rFonts w:hint="eastAsia"/>
          <w:b/>
          <w:bCs/>
        </w:rPr>
        <w:t>实施蔬菜种苗提升工程</w:t>
      </w:r>
      <w:bookmarkEnd w:id="26"/>
      <w:r>
        <w:rPr>
          <w:rFonts w:hint="eastAsia"/>
          <w:b/>
          <w:bCs/>
        </w:rPr>
        <w:t>。</w:t>
      </w:r>
      <w:bookmarkStart w:id="27" w:name="OLE_LINK52"/>
      <w:r>
        <w:rPr>
          <w:rFonts w:hint="eastAsia"/>
        </w:rPr>
        <w:t>在凤鸣、巴阳等地布局建设集约化育苗场，每年通过购买服务方式集中培育优质蔬菜种苗1000万株并无偿发放给农户，提升蔬菜产出质量。</w:t>
      </w:r>
      <w:bookmarkEnd w:id="27"/>
      <w:r>
        <w:rPr>
          <w:rFonts w:hint="eastAsia"/>
          <w:b/>
          <w:bCs/>
        </w:rPr>
        <w:t>三是</w:t>
      </w:r>
      <w:bookmarkStart w:id="28" w:name="OLE_LINK48"/>
      <w:r>
        <w:rPr>
          <w:rFonts w:hint="eastAsia"/>
          <w:b/>
          <w:bCs/>
        </w:rPr>
        <w:t>实施蔬菜产销对接工程</w:t>
      </w:r>
      <w:bookmarkEnd w:id="28"/>
      <w:r>
        <w:rPr>
          <w:rFonts w:hint="eastAsia"/>
          <w:b/>
          <w:bCs/>
        </w:rPr>
        <w:t>。</w:t>
      </w:r>
      <w:bookmarkStart w:id="29" w:name="OLE_LINK53"/>
      <w:r>
        <w:rPr>
          <w:rFonts w:hint="eastAsia"/>
        </w:rPr>
        <w:t>协调重庆农高集团、宏霖食品等企业与</w:t>
      </w:r>
      <w:r>
        <w:rPr>
          <w:rFonts w:hint="eastAsia" w:ascii="方正仿宋_GBK" w:hAnsi="方正仿宋_GBK" w:cs="方正仿宋_GBK"/>
        </w:rPr>
        <w:t>蔬菜</w:t>
      </w:r>
      <w:r>
        <w:rPr>
          <w:rFonts w:ascii="方正仿宋_GBK" w:hAnsi="方正仿宋_GBK" w:cs="方正仿宋_GBK"/>
        </w:rPr>
        <w:t>基地</w:t>
      </w:r>
      <w:r>
        <w:rPr>
          <w:rFonts w:hint="eastAsia" w:ascii="方正仿宋_GBK" w:hAnsi="方正仿宋_GBK" w:cs="方正仿宋_GBK"/>
        </w:rPr>
        <w:t>开展</w:t>
      </w:r>
      <w:r>
        <w:rPr>
          <w:rFonts w:hint="eastAsia"/>
        </w:rPr>
        <w:t>订单生产、直采直供，联合县商务委推进蔬菜农批对接、农超对接、农校对接，构建多层次、全覆盖的蔬菜销售供应体系</w:t>
      </w:r>
      <w:bookmarkEnd w:id="29"/>
      <w:r>
        <w:rPr>
          <w:rFonts w:hint="eastAsia"/>
        </w:rPr>
        <w:t>。</w:t>
      </w:r>
    </w:p>
    <w:p>
      <w:pPr>
        <w:ind w:firstLine="640"/>
        <w:rPr>
          <w:u w:val="thick"/>
        </w:rPr>
      </w:pPr>
      <w:r>
        <w:rPr>
          <w:rFonts w:hint="eastAsia" w:ascii="方正楷体_GBK" w:eastAsia="方正楷体_GBK"/>
        </w:rPr>
        <w:t>（四）</w:t>
      </w:r>
      <w:bookmarkStart w:id="30" w:name="OLE_LINK1"/>
      <w:r>
        <w:rPr>
          <w:rFonts w:hint="eastAsia" w:ascii="方正楷体_GBK" w:eastAsia="方正楷体_GBK"/>
        </w:rPr>
        <w:t>大力发展生态渔业</w:t>
      </w:r>
      <w:bookmarkEnd w:id="30"/>
      <w:r>
        <w:rPr>
          <w:rFonts w:hint="eastAsia" w:ascii="方正楷体_GBK" w:eastAsia="方正楷体_GBK"/>
        </w:rPr>
        <w:t>。</w:t>
      </w:r>
    </w:p>
    <w:p>
      <w:pPr>
        <w:ind w:firstLine="640"/>
      </w:pPr>
      <w:r>
        <w:rPr>
          <w:rFonts w:hint="eastAsia"/>
        </w:rPr>
        <w:t>工作目标：到2</w:t>
      </w:r>
      <w:r>
        <w:t>024</w:t>
      </w:r>
      <w:r>
        <w:rPr>
          <w:rFonts w:hint="eastAsia"/>
        </w:rPr>
        <w:t>年，</w:t>
      </w:r>
      <w:bookmarkStart w:id="31" w:name="OLE_LINK10"/>
      <w:r>
        <w:rPr>
          <w:rFonts w:hint="eastAsia"/>
        </w:rPr>
        <w:t>全县水库生态鱼养殖稳定在1</w:t>
      </w:r>
      <w:r>
        <w:t>.2</w:t>
      </w:r>
      <w:r>
        <w:rPr>
          <w:rFonts w:hint="eastAsia"/>
        </w:rPr>
        <w:t>万亩</w:t>
      </w:r>
      <w:bookmarkEnd w:id="31"/>
      <w:r>
        <w:rPr>
          <w:rFonts w:hint="eastAsia"/>
        </w:rPr>
        <w:t>，</w:t>
      </w:r>
      <w:bookmarkStart w:id="32" w:name="OLE_LINK8"/>
      <w:r>
        <w:rPr>
          <w:rFonts w:hint="eastAsia"/>
        </w:rPr>
        <w:t>稻田生态鱼面积达到1500亩</w:t>
      </w:r>
      <w:bookmarkEnd w:id="32"/>
      <w:r>
        <w:rPr>
          <w:rFonts w:hint="eastAsia"/>
        </w:rPr>
        <w:t>，</w:t>
      </w:r>
      <w:bookmarkStart w:id="33" w:name="OLE_LINK6"/>
      <w:r>
        <w:rPr>
          <w:rFonts w:hint="eastAsia"/>
        </w:rPr>
        <w:t>水产品总产量达到</w:t>
      </w:r>
      <w:r>
        <w:t>1.4</w:t>
      </w:r>
      <w:r>
        <w:rPr>
          <w:rFonts w:hint="eastAsia"/>
        </w:rPr>
        <w:t>万吨左右、较2</w:t>
      </w:r>
      <w:r>
        <w:t>021</w:t>
      </w:r>
      <w:r>
        <w:rPr>
          <w:rFonts w:hint="eastAsia"/>
        </w:rPr>
        <w:t>年增长17</w:t>
      </w:r>
      <w:r>
        <w:rPr>
          <w:rFonts w:cs="Times New Roman"/>
        </w:rPr>
        <w:t>%</w:t>
      </w:r>
      <w:bookmarkEnd w:id="33"/>
      <w:r>
        <w:rPr>
          <w:rFonts w:hint="eastAsia"/>
        </w:rPr>
        <w:t>。</w:t>
      </w:r>
    </w:p>
    <w:p>
      <w:pPr>
        <w:ind w:firstLine="640"/>
      </w:pPr>
      <w:r>
        <w:rPr>
          <w:rFonts w:hint="eastAsia"/>
        </w:rPr>
        <w:t>具体措施：</w:t>
      </w:r>
      <w:r>
        <w:rPr>
          <w:rFonts w:hint="eastAsia"/>
          <w:b/>
          <w:bCs/>
        </w:rPr>
        <w:t>一是</w:t>
      </w:r>
      <w:bookmarkStart w:id="34" w:name="OLE_LINK2"/>
      <w:r>
        <w:rPr>
          <w:rFonts w:hint="eastAsia"/>
          <w:b/>
          <w:bCs/>
        </w:rPr>
        <w:t>实施大水面生态渔业工程</w:t>
      </w:r>
      <w:bookmarkEnd w:id="34"/>
      <w:r>
        <w:rPr>
          <w:rFonts w:hint="eastAsia"/>
          <w:b/>
          <w:bCs/>
        </w:rPr>
        <w:t>。</w:t>
      </w:r>
      <w:bookmarkStart w:id="35" w:name="OLE_LINK5"/>
      <w:r>
        <w:rPr>
          <w:rFonts w:hint="eastAsia"/>
        </w:rPr>
        <w:t>在清水湖、梅峰水库、咸池水库等宜渔水库发展大水面生态渔业，配套建设市场营销体系，培育知名品牌，实现增产增效</w:t>
      </w:r>
      <w:bookmarkEnd w:id="35"/>
      <w:r>
        <w:rPr>
          <w:rFonts w:hint="eastAsia"/>
        </w:rPr>
        <w:t>。</w:t>
      </w:r>
      <w:r>
        <w:rPr>
          <w:rFonts w:hint="eastAsia"/>
          <w:b/>
          <w:bCs/>
        </w:rPr>
        <w:t>二是</w:t>
      </w:r>
      <w:bookmarkStart w:id="36" w:name="OLE_LINK3"/>
      <w:r>
        <w:rPr>
          <w:rFonts w:hint="eastAsia"/>
          <w:b/>
          <w:bCs/>
        </w:rPr>
        <w:t>实施稻渔综合种养建设工程</w:t>
      </w:r>
      <w:bookmarkEnd w:id="36"/>
      <w:r>
        <w:rPr>
          <w:rFonts w:hint="eastAsia"/>
          <w:b/>
          <w:bCs/>
        </w:rPr>
        <w:t>。</w:t>
      </w:r>
      <w:bookmarkStart w:id="37" w:name="OLE_LINK7"/>
      <w:r>
        <w:rPr>
          <w:rFonts w:hint="eastAsia"/>
        </w:rPr>
        <w:t>配合高标准农田建设项目，推广</w:t>
      </w:r>
      <w:r>
        <w:rPr>
          <w:rFonts w:hint="eastAsia" w:ascii="方正仿宋_GBK" w:hAnsi="方正仿宋_GBK"/>
        </w:rPr>
        <w:t>“</w:t>
      </w:r>
      <w:r>
        <w:rPr>
          <w:rFonts w:hint="eastAsia"/>
        </w:rPr>
        <w:t>稻渔综合种养</w:t>
      </w:r>
      <w:r>
        <w:rPr>
          <w:rFonts w:hint="eastAsia" w:ascii="方正仿宋_GBK" w:hAnsi="方正仿宋_GBK"/>
        </w:rPr>
        <w:t>”</w:t>
      </w:r>
      <w:r>
        <w:rPr>
          <w:rFonts w:hint="eastAsia"/>
        </w:rPr>
        <w:t>模式，建设5</w:t>
      </w:r>
      <w:r>
        <w:t>00</w:t>
      </w:r>
      <w:r>
        <w:rPr>
          <w:rFonts w:hint="eastAsia"/>
        </w:rPr>
        <w:t>亩以上示范基地1个</w:t>
      </w:r>
      <w:bookmarkEnd w:id="37"/>
      <w:r>
        <w:rPr>
          <w:rFonts w:hint="eastAsia"/>
        </w:rPr>
        <w:t>。</w:t>
      </w:r>
      <w:r>
        <w:rPr>
          <w:rFonts w:hint="eastAsia"/>
          <w:b/>
          <w:bCs/>
        </w:rPr>
        <w:t>三是</w:t>
      </w:r>
      <w:bookmarkStart w:id="38" w:name="OLE_LINK4"/>
      <w:r>
        <w:rPr>
          <w:rFonts w:hint="eastAsia"/>
          <w:b/>
          <w:bCs/>
        </w:rPr>
        <w:t>实施池塘渔业生态提升工程</w:t>
      </w:r>
      <w:bookmarkEnd w:id="38"/>
      <w:r>
        <w:rPr>
          <w:rFonts w:hint="eastAsia"/>
          <w:b/>
          <w:bCs/>
        </w:rPr>
        <w:t>。</w:t>
      </w:r>
      <w:bookmarkStart w:id="39" w:name="OLE_LINK9"/>
      <w:r>
        <w:rPr>
          <w:rFonts w:hint="eastAsia"/>
        </w:rPr>
        <w:t>按照国家级水产健康养殖示范场标准，升级改造专养池塘渔业设施，建设</w:t>
      </w:r>
      <w:r>
        <w:rPr>
          <w:rFonts w:hint="eastAsia" w:ascii="方正仿宋_GBK" w:hAnsi="方正仿宋_GBK"/>
        </w:rPr>
        <w:t>“</w:t>
      </w:r>
      <w:r>
        <w:rPr>
          <w:rFonts w:hint="eastAsia"/>
        </w:rPr>
        <w:t>鱼菜共生</w:t>
      </w:r>
      <w:r>
        <w:rPr>
          <w:rFonts w:hint="eastAsia" w:ascii="方正仿宋_GBK" w:hAnsi="方正仿宋_GBK"/>
        </w:rPr>
        <w:t>”</w:t>
      </w:r>
      <w:r>
        <w:rPr>
          <w:rFonts w:hint="eastAsia"/>
        </w:rPr>
        <w:t>循环水养殖6000立方米</w:t>
      </w:r>
      <w:bookmarkEnd w:id="39"/>
      <w:r>
        <w:rPr>
          <w:rFonts w:hint="eastAsia"/>
        </w:rPr>
        <w:t>。</w:t>
      </w:r>
    </w:p>
    <w:p>
      <w:pPr>
        <w:ind w:firstLine="640"/>
        <w:rPr>
          <w:rFonts w:ascii="方正黑体_GBK" w:eastAsia="方正黑体_GBK"/>
        </w:rPr>
      </w:pPr>
      <w:bookmarkStart w:id="40" w:name="OLE_LINK12"/>
      <w:r>
        <w:rPr>
          <w:rFonts w:hint="eastAsia" w:ascii="方正黑体_GBK" w:eastAsia="方正黑体_GBK"/>
        </w:rPr>
        <w:t>二、</w:t>
      </w:r>
      <w:bookmarkStart w:id="41" w:name="OLE_LINK170"/>
      <w:r>
        <w:rPr>
          <w:rFonts w:hint="eastAsia" w:ascii="方正黑体_GBK" w:eastAsia="方正黑体_GBK"/>
        </w:rPr>
        <w:t>围绕</w:t>
      </w:r>
      <w:r>
        <w:rPr>
          <w:rFonts w:hint="eastAsia" w:ascii="方正仿宋_GBK" w:hAnsi="方正仿宋_GBK"/>
        </w:rPr>
        <w:t>“</w:t>
      </w:r>
      <w:r>
        <w:rPr>
          <w:rFonts w:hint="eastAsia" w:ascii="方正黑体_GBK" w:eastAsia="方正黑体_GBK"/>
        </w:rPr>
        <w:t>高质量发展</w:t>
      </w:r>
      <w:r>
        <w:rPr>
          <w:rFonts w:hint="eastAsia" w:ascii="方正仿宋_GBK" w:hAnsi="方正仿宋_GBK"/>
        </w:rPr>
        <w:t>”</w:t>
      </w:r>
      <w:r>
        <w:rPr>
          <w:rFonts w:hint="eastAsia" w:ascii="方正黑体_GBK" w:eastAsia="方正黑体_GBK"/>
        </w:rPr>
        <w:t>，实施</w:t>
      </w:r>
      <w:bookmarkStart w:id="42" w:name="OLE_LINK163"/>
      <w:r>
        <w:rPr>
          <w:rFonts w:hint="eastAsia" w:ascii="方正黑体_GBK" w:eastAsia="方正黑体_GBK"/>
        </w:rPr>
        <w:t>特色产业提质增效行动</w:t>
      </w:r>
      <w:bookmarkEnd w:id="41"/>
      <w:bookmarkEnd w:id="42"/>
      <w:r>
        <w:rPr>
          <w:rFonts w:hint="eastAsia" w:ascii="方正黑体_GBK" w:eastAsia="方正黑体_GBK"/>
        </w:rPr>
        <w:t>。</w:t>
      </w:r>
    </w:p>
    <w:bookmarkEnd w:id="40"/>
    <w:p>
      <w:pPr>
        <w:ind w:firstLine="640"/>
        <w:rPr>
          <w:rFonts w:ascii="方正楷体_GBK" w:eastAsia="方正楷体_GBK"/>
        </w:rPr>
      </w:pPr>
      <w:r>
        <w:rPr>
          <w:rFonts w:hint="eastAsia" w:ascii="方正楷体_GBK" w:eastAsia="方正楷体_GBK"/>
        </w:rPr>
        <w:t>（一）</w:t>
      </w:r>
      <w:bookmarkStart w:id="43" w:name="OLE_LINK13"/>
      <w:r>
        <w:rPr>
          <w:rFonts w:hint="eastAsia" w:ascii="方正楷体_GBK" w:eastAsia="方正楷体_GBK"/>
        </w:rPr>
        <w:t>培育壮大特色农业产业集群</w:t>
      </w:r>
      <w:bookmarkEnd w:id="43"/>
      <w:r>
        <w:rPr>
          <w:rFonts w:hint="eastAsia" w:ascii="方正楷体_GBK" w:eastAsia="方正楷体_GBK"/>
        </w:rPr>
        <w:t>。</w:t>
      </w:r>
    </w:p>
    <w:p>
      <w:pPr>
        <w:ind w:firstLine="640"/>
      </w:pPr>
      <w:r>
        <w:rPr>
          <w:rFonts w:hint="eastAsia"/>
        </w:rPr>
        <w:t>工作目标：到2</w:t>
      </w:r>
      <w:r>
        <w:t>024</w:t>
      </w:r>
      <w:r>
        <w:rPr>
          <w:rFonts w:hint="eastAsia"/>
        </w:rPr>
        <w:t>年，全县农业总产值达到1</w:t>
      </w:r>
      <w:r>
        <w:t>40</w:t>
      </w:r>
      <w:r>
        <w:rPr>
          <w:rFonts w:hint="eastAsia"/>
        </w:rPr>
        <w:t>亿元，其中：以水果、中药材为主的特色种植业产值突破</w:t>
      </w:r>
      <w:r>
        <w:t>50</w:t>
      </w:r>
      <w:r>
        <w:rPr>
          <w:rFonts w:hint="eastAsia"/>
        </w:rPr>
        <w:t>亿元（水果32亿元、中药材1</w:t>
      </w:r>
      <w:r>
        <w:t>2</w:t>
      </w:r>
      <w:r>
        <w:rPr>
          <w:rFonts w:hint="eastAsia"/>
        </w:rPr>
        <w:t>亿元、调味品6亿元），生态养殖业产值突破5</w:t>
      </w:r>
      <w:r>
        <w:t>0</w:t>
      </w:r>
      <w:r>
        <w:rPr>
          <w:rFonts w:hint="eastAsia"/>
        </w:rPr>
        <w:t>亿元。</w:t>
      </w:r>
    </w:p>
    <w:p>
      <w:pPr>
        <w:ind w:firstLine="640"/>
        <w:rPr>
          <w:rFonts w:ascii="方正仿宋_GBK"/>
        </w:rPr>
      </w:pPr>
      <w:r>
        <w:rPr>
          <w:rFonts w:hint="eastAsia"/>
        </w:rPr>
        <w:t>具体措施：</w:t>
      </w:r>
      <w:r>
        <w:rPr>
          <w:rFonts w:hint="eastAsia"/>
          <w:b/>
          <w:bCs/>
        </w:rPr>
        <w:t>一是</w:t>
      </w:r>
      <w:bookmarkStart w:id="44" w:name="OLE_LINK14"/>
      <w:r>
        <w:rPr>
          <w:rFonts w:hint="eastAsia"/>
          <w:b/>
          <w:bCs/>
        </w:rPr>
        <w:t>培育壮大水果产业集群</w:t>
      </w:r>
      <w:bookmarkEnd w:id="44"/>
      <w:r>
        <w:rPr>
          <w:rFonts w:hint="eastAsia"/>
          <w:b/>
          <w:bCs/>
        </w:rPr>
        <w:t>。</w:t>
      </w:r>
      <w:bookmarkStart w:id="45" w:name="OLE_LINK17"/>
      <w:r>
        <w:rPr>
          <w:rFonts w:hint="eastAsia"/>
        </w:rPr>
        <w:t>优化品种布局，通过高换、新建和补植，每年调优柑橘品种1万亩。提质增效柑橘果园，通过推广水肥药一体化、轨道运输机等设施化装备，推行绿色高效栽培技术，每年改造低质低效果园1万亩。强化水果种植、销售、社会化服务三大主体培育，每年培育30亩以上规模化种植主体500个、果品经济人50人、社会化服务组织20家。加强品牌营销，实现</w:t>
      </w:r>
      <w:r>
        <w:rPr>
          <w:rFonts w:hint="eastAsia" w:ascii="方正仿宋_GBK" w:hAnsi="方正仿宋_GBK"/>
        </w:rPr>
        <w:t>“</w:t>
      </w:r>
      <w:r>
        <w:rPr>
          <w:rFonts w:hint="eastAsia"/>
        </w:rPr>
        <w:t>云阳红橙</w:t>
      </w:r>
      <w:r>
        <w:rPr>
          <w:rFonts w:hint="eastAsia" w:ascii="方正仿宋_GBK" w:hAnsi="方正仿宋_GBK"/>
        </w:rPr>
        <w:t>”</w:t>
      </w:r>
      <w:r>
        <w:rPr>
          <w:rFonts w:hint="eastAsia"/>
        </w:rPr>
        <w:t>全国有名、库区有位</w:t>
      </w:r>
      <w:bookmarkEnd w:id="45"/>
      <w:r>
        <w:rPr>
          <w:rFonts w:hint="eastAsia"/>
        </w:rPr>
        <w:t>。到2024年，</w:t>
      </w:r>
      <w:bookmarkStart w:id="46" w:name="OLE_LINK18"/>
      <w:r>
        <w:rPr>
          <w:rFonts w:hint="eastAsia"/>
        </w:rPr>
        <w:t>全县水果面积达到43万亩、产量达到4</w:t>
      </w:r>
      <w:r>
        <w:t>8</w:t>
      </w:r>
      <w:r>
        <w:rPr>
          <w:rFonts w:hint="eastAsia"/>
        </w:rPr>
        <w:t>万吨，其中柑橘面积33万亩、产量3</w:t>
      </w:r>
      <w:r>
        <w:t>3</w:t>
      </w:r>
      <w:r>
        <w:rPr>
          <w:rFonts w:hint="eastAsia"/>
        </w:rPr>
        <w:t>万吨</w:t>
      </w:r>
      <w:bookmarkEnd w:id="46"/>
      <w:r>
        <w:rPr>
          <w:rFonts w:hint="eastAsia"/>
        </w:rPr>
        <w:t>。</w:t>
      </w:r>
      <w:r>
        <w:rPr>
          <w:rFonts w:hint="eastAsia"/>
          <w:b/>
          <w:bCs/>
        </w:rPr>
        <w:t>二是</w:t>
      </w:r>
      <w:bookmarkStart w:id="47" w:name="OLE_LINK15"/>
      <w:r>
        <w:rPr>
          <w:rFonts w:hint="eastAsia"/>
          <w:b/>
          <w:bCs/>
        </w:rPr>
        <w:t>培育壮大中药材产业集群</w:t>
      </w:r>
      <w:bookmarkEnd w:id="47"/>
      <w:r>
        <w:rPr>
          <w:rFonts w:hint="eastAsia"/>
          <w:b/>
          <w:bCs/>
        </w:rPr>
        <w:t>。</w:t>
      </w:r>
      <w:bookmarkStart w:id="48" w:name="OLE_LINK19"/>
      <w:r>
        <w:rPr>
          <w:rFonts w:hint="eastAsia"/>
        </w:rPr>
        <w:t>大力发展天麻、枳壳、川佛手、小茴香、淫羊藿等道地品种和菊花、艾草、黄精、前胡、丹参、三木药材（黄柏、杜仲、厚朴）适生优势品种，加强特色中药材GAP规范化种植基地建设，打造</w:t>
      </w:r>
      <w:r>
        <w:rPr>
          <w:rFonts w:hint="eastAsia" w:ascii="方正仿宋_GBK" w:hAnsi="方正仿宋_GBK"/>
        </w:rPr>
        <w:t>“</w:t>
      </w:r>
      <w:r>
        <w:rPr>
          <w:rFonts w:hint="eastAsia"/>
        </w:rPr>
        <w:t>天生药乡、花果药乡</w:t>
      </w:r>
      <w:r>
        <w:rPr>
          <w:rFonts w:hint="eastAsia" w:ascii="方正仿宋_GBK" w:hAnsi="方正仿宋_GBK"/>
        </w:rPr>
        <w:t>”</w:t>
      </w:r>
      <w:r>
        <w:rPr>
          <w:rFonts w:hint="eastAsia"/>
        </w:rPr>
        <w:t>道地药材基地，建成三峡库区道地药材基地县。依托科研院所，建设三峡库区中药材种苗繁育基地、中药材科研基地。支持中药材加工龙头企业做大做强，建设现代中药材示范基地，做大中药加工业，打造菊花、艾草等生态农业观光园。</w:t>
      </w:r>
      <w:bookmarkEnd w:id="48"/>
      <w:r>
        <w:rPr>
          <w:rFonts w:hint="eastAsia"/>
        </w:rPr>
        <w:t>到202</w:t>
      </w:r>
      <w:r>
        <w:t>4</w:t>
      </w:r>
      <w:r>
        <w:rPr>
          <w:rFonts w:hint="eastAsia"/>
        </w:rPr>
        <w:t>年，</w:t>
      </w:r>
      <w:bookmarkStart w:id="49" w:name="OLE_LINK20"/>
      <w:r>
        <w:rPr>
          <w:rFonts w:hint="eastAsia"/>
        </w:rPr>
        <w:t>全县中药材种植总面积达到14万亩，产量达到7.8万吨</w:t>
      </w:r>
      <w:bookmarkEnd w:id="49"/>
      <w:r>
        <w:rPr>
          <w:rFonts w:hint="eastAsia"/>
        </w:rPr>
        <w:t>。</w:t>
      </w:r>
      <w:r>
        <w:rPr>
          <w:rFonts w:hint="eastAsia"/>
          <w:b/>
          <w:bCs/>
        </w:rPr>
        <w:t>三是</w:t>
      </w:r>
      <w:bookmarkStart w:id="50" w:name="OLE_LINK16"/>
      <w:r>
        <w:rPr>
          <w:rFonts w:hint="eastAsia"/>
          <w:b/>
          <w:bCs/>
        </w:rPr>
        <w:t>培育壮大生态养殖产业集群</w:t>
      </w:r>
      <w:bookmarkEnd w:id="50"/>
      <w:r>
        <w:rPr>
          <w:rFonts w:hint="eastAsia"/>
        </w:rPr>
        <w:t>。</w:t>
      </w:r>
      <w:bookmarkStart w:id="51" w:name="OLE_LINK21"/>
      <w:r>
        <w:rPr>
          <w:rFonts w:hint="eastAsia"/>
        </w:rPr>
        <w:t>按照</w:t>
      </w:r>
      <w:r>
        <w:rPr>
          <w:rFonts w:hint="eastAsia" w:ascii="方正仿宋_GBK" w:hAnsi="方正仿宋_GBK"/>
        </w:rPr>
        <w:t>“</w:t>
      </w:r>
      <w:r>
        <w:rPr>
          <w:rFonts w:hint="eastAsia"/>
        </w:rPr>
        <w:t>稳生猪、扩牛羊</w:t>
      </w:r>
      <w:r>
        <w:rPr>
          <w:rFonts w:hint="eastAsia" w:ascii="方正仿宋_GBK" w:hAnsi="方正仿宋_GBK"/>
        </w:rPr>
        <w:t>”</w:t>
      </w:r>
      <w:r>
        <w:rPr>
          <w:rFonts w:hint="eastAsia"/>
        </w:rPr>
        <w:t>思路，在稳定发展生猪产能的基础上，实施肉牛肉羊生产发展三年行动，增加牛羊肉供应。以重庆农高集团为载体，打造国家肉牛核心育种场，完善现有山羊种繁基地设施，培育市级山羊繁育基地。支持牛羊扩群增量、基础设施升级、品种改良，提升饲养管理水平。总结推广牛羊适度规模养殖模式，促进牛羊生产方式转变。推进家禽产业稳步发展，以集约化、设施化为标准，支持规模化蛋鸡养殖场建设，重点打造巴阳农高望丰50万只蛋鸡现代化产业园。</w:t>
      </w:r>
      <w:bookmarkEnd w:id="51"/>
      <w:r>
        <w:rPr>
          <w:rFonts w:hint="eastAsia"/>
        </w:rPr>
        <w:t>到</w:t>
      </w:r>
      <w:r>
        <w:t>2024</w:t>
      </w:r>
      <w:r>
        <w:rPr>
          <w:rFonts w:hint="eastAsia"/>
        </w:rPr>
        <w:t>年</w:t>
      </w:r>
      <w:r>
        <w:t>，</w:t>
      </w:r>
      <w:bookmarkStart w:id="52" w:name="OLE_LINK22"/>
      <w:r>
        <w:rPr>
          <w:rFonts w:hint="eastAsia"/>
        </w:rPr>
        <w:t>全</w:t>
      </w:r>
      <w:r>
        <w:t>县肉牛出栏5.9</w:t>
      </w:r>
      <w:r>
        <w:rPr>
          <w:rFonts w:hint="eastAsia"/>
        </w:rPr>
        <w:t>万头、山羊</w:t>
      </w:r>
      <w:r>
        <w:t>出栏65.7</w:t>
      </w:r>
      <w:r>
        <w:rPr>
          <w:rFonts w:hint="eastAsia"/>
        </w:rPr>
        <w:t>万头、家禽</w:t>
      </w:r>
      <w:r>
        <w:t>出栏591.3</w:t>
      </w:r>
      <w:r>
        <w:rPr>
          <w:rFonts w:hint="eastAsia"/>
        </w:rPr>
        <w:t>万头，较2</w:t>
      </w:r>
      <w:r>
        <w:t>021</w:t>
      </w:r>
      <w:r>
        <w:rPr>
          <w:rFonts w:hint="eastAsia"/>
        </w:rPr>
        <w:t>年分别增长14</w:t>
      </w:r>
      <w:r>
        <w:rPr>
          <w:rFonts w:cs="Times New Roman"/>
        </w:rPr>
        <w:t>%</w:t>
      </w:r>
      <w:r>
        <w:rPr>
          <w:rFonts w:hint="eastAsia"/>
        </w:rPr>
        <w:t>、10</w:t>
      </w:r>
      <w:r>
        <w:rPr>
          <w:rFonts w:cs="Times New Roman"/>
        </w:rPr>
        <w:t>%</w:t>
      </w:r>
      <w:r>
        <w:rPr>
          <w:rFonts w:hint="eastAsia"/>
        </w:rPr>
        <w:t>、1</w:t>
      </w:r>
      <w:r>
        <w:t>6</w:t>
      </w:r>
      <w:r>
        <w:rPr>
          <w:rFonts w:cs="Times New Roman"/>
        </w:rPr>
        <w:t>%</w:t>
      </w:r>
      <w:r>
        <w:rPr>
          <w:rFonts w:hint="eastAsia"/>
        </w:rPr>
        <w:t>，肉牛出栏量稳定在全市前3位、山羊出栏量稳定在全市第1位</w:t>
      </w:r>
      <w:bookmarkEnd w:id="52"/>
      <w:r>
        <w:rPr>
          <w:rFonts w:hint="eastAsia"/>
        </w:rPr>
        <w:t>。</w:t>
      </w:r>
    </w:p>
    <w:p>
      <w:pPr>
        <w:ind w:firstLine="640"/>
        <w:rPr>
          <w:rFonts w:ascii="方正楷体_GBK" w:eastAsia="方正楷体_GBK"/>
        </w:rPr>
      </w:pPr>
      <w:r>
        <w:rPr>
          <w:rFonts w:hint="eastAsia" w:ascii="方正楷体_GBK" w:eastAsia="方正楷体_GBK"/>
        </w:rPr>
        <w:t>（二）</w:t>
      </w:r>
      <w:bookmarkStart w:id="53" w:name="OLE_LINK51"/>
      <w:r>
        <w:rPr>
          <w:rFonts w:hint="eastAsia" w:ascii="方正楷体_GBK" w:eastAsia="方正楷体_GBK"/>
        </w:rPr>
        <w:t>加强农业全产业链建设</w:t>
      </w:r>
      <w:bookmarkEnd w:id="53"/>
      <w:r>
        <w:rPr>
          <w:rFonts w:hint="eastAsia" w:ascii="方正楷体_GBK" w:eastAsia="方正楷体_GBK"/>
        </w:rPr>
        <w:t>。</w:t>
      </w:r>
    </w:p>
    <w:p>
      <w:pPr>
        <w:ind w:firstLine="640"/>
        <w:rPr>
          <w:highlight w:val="yellow"/>
        </w:rPr>
      </w:pPr>
      <w:r>
        <w:rPr>
          <w:rFonts w:hint="eastAsia"/>
        </w:rPr>
        <w:t>工作目标：到2</w:t>
      </w:r>
      <w:r>
        <w:t>024</w:t>
      </w:r>
      <w:r>
        <w:rPr>
          <w:rFonts w:hint="eastAsia"/>
        </w:rPr>
        <w:t>年，全县农业质量效益和竞争力明显提高，形成以农产品加工业为</w:t>
      </w:r>
      <w:r>
        <w:rPr>
          <w:rFonts w:hint="eastAsia" w:ascii="方正仿宋_GBK" w:hAnsi="方正仿宋_GBK"/>
        </w:rPr>
        <w:t>“</w:t>
      </w:r>
      <w:r>
        <w:rPr>
          <w:rFonts w:hint="eastAsia"/>
        </w:rPr>
        <w:t>干</w:t>
      </w:r>
      <w:r>
        <w:rPr>
          <w:rFonts w:hint="eastAsia" w:ascii="方正仿宋_GBK" w:hAnsi="方正仿宋_GBK"/>
        </w:rPr>
        <w:t>”</w:t>
      </w:r>
      <w:r>
        <w:rPr>
          <w:rFonts w:hint="eastAsia"/>
        </w:rPr>
        <w:t>贯通产加销、以乡村休闲旅游业为</w:t>
      </w:r>
      <w:r>
        <w:rPr>
          <w:rFonts w:hint="eastAsia" w:ascii="方正仿宋_GBK" w:hAnsi="方正仿宋_GBK"/>
        </w:rPr>
        <w:t>“</w:t>
      </w:r>
      <w:r>
        <w:rPr>
          <w:rFonts w:hint="eastAsia"/>
        </w:rPr>
        <w:t>径</w:t>
      </w:r>
      <w:r>
        <w:rPr>
          <w:rFonts w:hint="eastAsia" w:ascii="方正仿宋_GBK" w:hAnsi="方正仿宋_GBK"/>
        </w:rPr>
        <w:t>”</w:t>
      </w:r>
      <w:r>
        <w:rPr>
          <w:rFonts w:hint="eastAsia"/>
        </w:rPr>
        <w:t>融合农文旅的现代乡村产业体系，</w:t>
      </w:r>
      <w:bookmarkStart w:id="54" w:name="OLE_LINK58"/>
      <w:r>
        <w:rPr>
          <w:rFonts w:hint="eastAsia"/>
        </w:rPr>
        <w:t>力争将</w:t>
      </w:r>
      <w:r>
        <w:rPr>
          <w:rFonts w:hint="eastAsia" w:ascii="方正仿宋_GBK" w:hAnsi="方正仿宋_GBK"/>
        </w:rPr>
        <w:t>“</w:t>
      </w:r>
      <w:r>
        <w:rPr>
          <w:rFonts w:hint="eastAsia"/>
        </w:rPr>
        <w:t>天生云阳</w:t>
      </w:r>
      <w:r>
        <w:rPr>
          <w:rFonts w:hint="eastAsia" w:ascii="方正仿宋_GBK" w:hAnsi="方正仿宋_GBK"/>
        </w:rPr>
        <w:t>”</w:t>
      </w:r>
      <w:r>
        <w:rPr>
          <w:rFonts w:hint="eastAsia"/>
        </w:rPr>
        <w:t>品牌打造成中国驰名商标</w:t>
      </w:r>
      <w:bookmarkEnd w:id="54"/>
      <w:r>
        <w:rPr>
          <w:rFonts w:hint="eastAsia"/>
        </w:rPr>
        <w:t>，</w:t>
      </w:r>
      <w:bookmarkStart w:id="55" w:name="OLE_LINK59"/>
      <w:r>
        <w:rPr>
          <w:rFonts w:hint="eastAsia"/>
        </w:rPr>
        <w:t>农产品加工业产值与农业总产值比达到1.5</w:t>
      </w:r>
      <w:r>
        <w:t>:1</w:t>
      </w:r>
      <w:bookmarkEnd w:id="55"/>
      <w:r>
        <w:rPr>
          <w:rFonts w:hint="eastAsia"/>
        </w:rPr>
        <w:t>，</w:t>
      </w:r>
      <w:bookmarkStart w:id="56" w:name="OLE_LINK60"/>
      <w:r>
        <w:rPr>
          <w:rFonts w:hint="eastAsia"/>
        </w:rPr>
        <w:t>乡村休闲旅游业综合收入达到</w:t>
      </w:r>
      <w:r>
        <w:t>25</w:t>
      </w:r>
      <w:r>
        <w:rPr>
          <w:rFonts w:hint="eastAsia"/>
        </w:rPr>
        <w:t>亿元</w:t>
      </w:r>
      <w:bookmarkEnd w:id="56"/>
      <w:r>
        <w:rPr>
          <w:rFonts w:hint="eastAsia"/>
        </w:rPr>
        <w:t>。</w:t>
      </w:r>
    </w:p>
    <w:p>
      <w:pPr>
        <w:ind w:firstLine="640"/>
      </w:pPr>
      <w:r>
        <w:rPr>
          <w:rFonts w:hint="eastAsia"/>
        </w:rPr>
        <w:t>具体措施：</w:t>
      </w:r>
      <w:r>
        <w:rPr>
          <w:rFonts w:hint="eastAsia"/>
          <w:b/>
          <w:bCs/>
        </w:rPr>
        <w:t>一是</w:t>
      </w:r>
      <w:bookmarkStart w:id="57" w:name="OLE_LINK54"/>
      <w:r>
        <w:rPr>
          <w:rFonts w:hint="eastAsia"/>
          <w:b/>
          <w:bCs/>
        </w:rPr>
        <w:t>做响做靓农业品牌</w:t>
      </w:r>
      <w:bookmarkEnd w:id="57"/>
      <w:r>
        <w:rPr>
          <w:rFonts w:hint="eastAsia"/>
          <w:b/>
          <w:bCs/>
        </w:rPr>
        <w:t>。</w:t>
      </w:r>
      <w:bookmarkStart w:id="58" w:name="OLE_LINK57"/>
      <w:r>
        <w:rPr>
          <w:rFonts w:hint="eastAsia"/>
        </w:rPr>
        <w:t>加强农业生产</w:t>
      </w:r>
      <w:r>
        <w:rPr>
          <w:rFonts w:hint="eastAsia" w:ascii="方正仿宋_GBK" w:hAnsi="方正仿宋_GBK"/>
        </w:rPr>
        <w:t>“</w:t>
      </w:r>
      <w:r>
        <w:rPr>
          <w:rFonts w:hint="eastAsia"/>
        </w:rPr>
        <w:t>三品一标</w:t>
      </w:r>
      <w:r>
        <w:rPr>
          <w:rFonts w:hint="eastAsia" w:ascii="方正仿宋_GBK" w:hAnsi="方正仿宋_GBK"/>
        </w:rPr>
        <w:t>”</w:t>
      </w:r>
      <w:r>
        <w:rPr>
          <w:rFonts w:hint="eastAsia"/>
        </w:rPr>
        <w:t>建设，着力强认证、创品牌，每年新增绿色食品、有机食品、名牌农产品、名特优新农产品等市级以上农业品牌15个以上。持续推进</w:t>
      </w:r>
      <w:r>
        <w:rPr>
          <w:rFonts w:hint="eastAsia" w:ascii="方正仿宋_GBK" w:hAnsi="方正仿宋_GBK"/>
        </w:rPr>
        <w:t>“</w:t>
      </w:r>
      <w:r>
        <w:rPr>
          <w:rFonts w:hint="eastAsia"/>
        </w:rPr>
        <w:t>天生云阳</w:t>
      </w:r>
      <w:r>
        <w:rPr>
          <w:rFonts w:hint="eastAsia" w:ascii="方正仿宋_GBK" w:hAnsi="方正仿宋_GBK"/>
        </w:rPr>
        <w:t>”</w:t>
      </w:r>
      <w:r>
        <w:rPr>
          <w:rFonts w:hint="eastAsia"/>
        </w:rPr>
        <w:t>农产品区域公用品牌建设，常态化维持授权子品牌数在</w:t>
      </w:r>
      <w:r>
        <w:t>50</w:t>
      </w:r>
      <w:r>
        <w:rPr>
          <w:rFonts w:hint="eastAsia"/>
        </w:rPr>
        <w:t>个以上</w:t>
      </w:r>
      <w:bookmarkEnd w:id="58"/>
      <w:r>
        <w:rPr>
          <w:rFonts w:hint="eastAsia"/>
        </w:rPr>
        <w:t>。</w:t>
      </w:r>
      <w:r>
        <w:rPr>
          <w:rFonts w:hint="eastAsia"/>
          <w:b/>
          <w:bCs/>
        </w:rPr>
        <w:t>二是</w:t>
      </w:r>
      <w:bookmarkStart w:id="59" w:name="OLE_LINK55"/>
      <w:r>
        <w:rPr>
          <w:rFonts w:hint="eastAsia"/>
          <w:b/>
          <w:bCs/>
        </w:rPr>
        <w:t>做大做强农产品加工业</w:t>
      </w:r>
      <w:bookmarkEnd w:id="59"/>
      <w:r>
        <w:rPr>
          <w:rFonts w:hint="eastAsia"/>
          <w:b/>
          <w:bCs/>
        </w:rPr>
        <w:t>。</w:t>
      </w:r>
      <w:bookmarkStart w:id="60" w:name="OLE_LINK61"/>
      <w:r>
        <w:rPr>
          <w:rFonts w:hint="eastAsia"/>
        </w:rPr>
        <w:t>以绿色食品加工和药材加工为重点，扶持发展特色农产品产地加工和精深加工，大力培育链主企业，支持农产品加工企业</w:t>
      </w:r>
      <w:r>
        <w:rPr>
          <w:rFonts w:hint="eastAsia" w:ascii="方正仿宋_GBK" w:hAnsi="方正仿宋_GBK"/>
        </w:rPr>
        <w:t>“</w:t>
      </w:r>
      <w:r>
        <w:rPr>
          <w:rFonts w:hint="eastAsia"/>
        </w:rPr>
        <w:t>企升规</w:t>
      </w:r>
      <w:r>
        <w:rPr>
          <w:rFonts w:hint="eastAsia" w:ascii="方正仿宋_GBK" w:hAnsi="方正仿宋_GBK"/>
        </w:rPr>
        <w:t>”“</w:t>
      </w:r>
      <w:r>
        <w:rPr>
          <w:rFonts w:hint="eastAsia"/>
        </w:rPr>
        <w:t>创龙头</w:t>
      </w:r>
      <w:r>
        <w:rPr>
          <w:rFonts w:hint="eastAsia" w:ascii="方正仿宋_GBK" w:hAnsi="方正仿宋_GBK"/>
        </w:rPr>
        <w:t>”</w:t>
      </w:r>
      <w:r>
        <w:rPr>
          <w:rFonts w:hint="eastAsia"/>
        </w:rPr>
        <w:t>，推动农产品加工业上规模、提能级，全县农产品加工业产值年均增长10</w:t>
      </w:r>
      <w:r>
        <w:rPr>
          <w:rFonts w:cs="Times New Roman"/>
        </w:rPr>
        <w:t>%</w:t>
      </w:r>
      <w:r>
        <w:rPr>
          <w:rFonts w:hint="eastAsia"/>
        </w:rPr>
        <w:t>以上，到2</w:t>
      </w:r>
      <w:r>
        <w:t>024</w:t>
      </w:r>
      <w:r>
        <w:rPr>
          <w:rFonts w:hint="eastAsia"/>
        </w:rPr>
        <w:t>年达到120亿元</w:t>
      </w:r>
      <w:bookmarkEnd w:id="60"/>
      <w:r>
        <w:rPr>
          <w:rFonts w:hint="eastAsia"/>
        </w:rPr>
        <w:t>。</w:t>
      </w:r>
      <w:r>
        <w:rPr>
          <w:rFonts w:hint="eastAsia"/>
          <w:b/>
          <w:bCs/>
        </w:rPr>
        <w:t>三是</w:t>
      </w:r>
      <w:bookmarkStart w:id="61" w:name="OLE_LINK56"/>
      <w:r>
        <w:rPr>
          <w:rFonts w:hint="eastAsia"/>
          <w:b/>
          <w:bCs/>
        </w:rPr>
        <w:t>做精做优乡村休闲旅游业</w:t>
      </w:r>
      <w:bookmarkEnd w:id="61"/>
      <w:r>
        <w:rPr>
          <w:rFonts w:hint="eastAsia"/>
          <w:b/>
          <w:bCs/>
        </w:rPr>
        <w:t>。</w:t>
      </w:r>
      <w:bookmarkStart w:id="62" w:name="OLE_LINK62"/>
      <w:r>
        <w:rPr>
          <w:rFonts w:hint="eastAsia"/>
        </w:rPr>
        <w:t>坚持</w:t>
      </w:r>
      <w:r>
        <w:rPr>
          <w:rFonts w:hint="eastAsia" w:ascii="方正仿宋_GBK" w:hAnsi="方正仿宋_GBK"/>
        </w:rPr>
        <w:t>“</w:t>
      </w:r>
      <w:r>
        <w:rPr>
          <w:rFonts w:hint="eastAsia"/>
        </w:rPr>
        <w:t>产业融合化、园区景区化、乡村旅游化</w:t>
      </w:r>
      <w:r>
        <w:rPr>
          <w:rFonts w:hint="eastAsia" w:ascii="方正仿宋_GBK" w:hAnsi="方正仿宋_GBK"/>
        </w:rPr>
        <w:t>”</w:t>
      </w:r>
      <w:r>
        <w:rPr>
          <w:rFonts w:hint="eastAsia"/>
        </w:rPr>
        <w:t>思路，以</w:t>
      </w:r>
      <w:r>
        <w:rPr>
          <w:rFonts w:hint="eastAsia" w:ascii="方正仿宋_GBK" w:hAnsi="方正仿宋_GBK"/>
        </w:rPr>
        <w:t>“</w:t>
      </w:r>
      <w:r>
        <w:rPr>
          <w:rFonts w:hint="eastAsia"/>
        </w:rPr>
        <w:t>一综两园四带</w:t>
      </w:r>
      <w:r>
        <w:rPr>
          <w:rFonts w:hint="eastAsia" w:ascii="方正仿宋_GBK" w:hAnsi="方正仿宋_GBK"/>
        </w:rPr>
        <w:t>”</w:t>
      </w:r>
      <w:r>
        <w:rPr>
          <w:rFonts w:hint="eastAsia"/>
        </w:rPr>
        <w:t>为示范，推进产业基地标准化建设和景区化改造，推动14条乡村休闲旅游精品线路优化升级，促进乡村产业多业态融合、多要素聚集、多主体参与</w:t>
      </w:r>
      <w:bookmarkEnd w:id="62"/>
      <w:r>
        <w:rPr>
          <w:rFonts w:hint="eastAsia"/>
        </w:rPr>
        <w:t>。到2</w:t>
      </w:r>
      <w:r>
        <w:t>024</w:t>
      </w:r>
      <w:r>
        <w:rPr>
          <w:rFonts w:hint="eastAsia"/>
        </w:rPr>
        <w:t>年，</w:t>
      </w:r>
      <w:bookmarkStart w:id="63" w:name="OLE_LINK63"/>
      <w:r>
        <w:rPr>
          <w:rFonts w:hint="eastAsia"/>
        </w:rPr>
        <w:t>创建国家级美丽休闲乡村2个</w:t>
      </w:r>
      <w:bookmarkEnd w:id="63"/>
      <w:r>
        <w:rPr>
          <w:rFonts w:hint="eastAsia"/>
        </w:rPr>
        <w:t>。</w:t>
      </w:r>
    </w:p>
    <w:p>
      <w:pPr>
        <w:ind w:firstLine="640"/>
        <w:rPr>
          <w:rFonts w:ascii="方正楷体_GBK" w:eastAsia="方正楷体_GBK"/>
        </w:rPr>
      </w:pPr>
      <w:r>
        <w:rPr>
          <w:rFonts w:hint="eastAsia" w:ascii="方正楷体_GBK" w:eastAsia="方正楷体_GBK"/>
        </w:rPr>
        <w:t>（三）</w:t>
      </w:r>
      <w:bookmarkStart w:id="64" w:name="OLE_LINK64"/>
      <w:r>
        <w:rPr>
          <w:rFonts w:hint="eastAsia" w:ascii="方正楷体_GBK" w:eastAsia="方正楷体_GBK"/>
        </w:rPr>
        <w:t>全面提高农业综合生产能力</w:t>
      </w:r>
      <w:bookmarkEnd w:id="64"/>
      <w:r>
        <w:rPr>
          <w:rFonts w:hint="eastAsia" w:ascii="方正楷体_GBK" w:eastAsia="方正楷体_GBK"/>
        </w:rPr>
        <w:t>。</w:t>
      </w:r>
    </w:p>
    <w:p>
      <w:pPr>
        <w:ind w:firstLine="640"/>
        <w:rPr>
          <w:highlight w:val="yellow"/>
        </w:rPr>
      </w:pPr>
      <w:r>
        <w:rPr>
          <w:rFonts w:hint="eastAsia"/>
        </w:rPr>
        <w:t>工作目标：到2</w:t>
      </w:r>
      <w:r>
        <w:t>024</w:t>
      </w:r>
      <w:r>
        <w:rPr>
          <w:rFonts w:hint="eastAsia"/>
        </w:rPr>
        <w:t>年，</w:t>
      </w:r>
      <w:bookmarkStart w:id="65" w:name="OLE_LINK69"/>
      <w:r>
        <w:rPr>
          <w:rFonts w:hint="eastAsia"/>
        </w:rPr>
        <w:t>全县耕地中高标准农田的占比达到5</w:t>
      </w:r>
      <w:r>
        <w:t>6.5</w:t>
      </w:r>
      <w:r>
        <w:rPr>
          <w:rFonts w:cs="Times New Roman"/>
        </w:rPr>
        <w:t>%</w:t>
      </w:r>
      <w:r>
        <w:rPr>
          <w:rFonts w:hint="eastAsia"/>
        </w:rPr>
        <w:t>、较2</w:t>
      </w:r>
      <w:r>
        <w:t>021</w:t>
      </w:r>
      <w:r>
        <w:rPr>
          <w:rFonts w:hint="eastAsia"/>
        </w:rPr>
        <w:t>年提高1</w:t>
      </w:r>
      <w:r>
        <w:t>6</w:t>
      </w:r>
      <w:r>
        <w:rPr>
          <w:rFonts w:hint="eastAsia"/>
        </w:rPr>
        <w:t>个百分点，农作物耕种收综合机械化率达到</w:t>
      </w:r>
      <w:r>
        <w:t>55</w:t>
      </w:r>
      <w:r>
        <w:rPr>
          <w:rFonts w:cs="Times New Roman"/>
        </w:rPr>
        <w:t>%</w:t>
      </w:r>
      <w:r>
        <w:rPr>
          <w:rFonts w:hint="eastAsia"/>
        </w:rPr>
        <w:t>，较2</w:t>
      </w:r>
      <w:r>
        <w:t>021</w:t>
      </w:r>
      <w:r>
        <w:rPr>
          <w:rFonts w:hint="eastAsia"/>
        </w:rPr>
        <w:t>年提高4个百分点</w:t>
      </w:r>
      <w:bookmarkEnd w:id="65"/>
      <w:r>
        <w:rPr>
          <w:rFonts w:hint="eastAsia"/>
        </w:rPr>
        <w:t>。</w:t>
      </w:r>
    </w:p>
    <w:p>
      <w:pPr>
        <w:ind w:firstLine="640"/>
      </w:pPr>
      <w:r>
        <w:rPr>
          <w:rFonts w:hint="eastAsia"/>
        </w:rPr>
        <w:t>具体措施：</w:t>
      </w:r>
      <w:r>
        <w:rPr>
          <w:rFonts w:hint="eastAsia"/>
          <w:b/>
          <w:bCs/>
        </w:rPr>
        <w:t>一是</w:t>
      </w:r>
      <w:bookmarkStart w:id="66" w:name="OLE_LINK65"/>
      <w:r>
        <w:rPr>
          <w:rFonts w:hint="eastAsia"/>
          <w:b/>
          <w:bCs/>
        </w:rPr>
        <w:t>实施高标准农田建设工程</w:t>
      </w:r>
      <w:bookmarkEnd w:id="66"/>
      <w:r>
        <w:rPr>
          <w:rFonts w:hint="eastAsia"/>
          <w:b/>
          <w:bCs/>
        </w:rPr>
        <w:t>。</w:t>
      </w:r>
      <w:bookmarkStart w:id="67" w:name="OLE_LINK67"/>
      <w:r>
        <w:rPr>
          <w:rFonts w:hint="eastAsia"/>
        </w:rPr>
        <w:t>以粮油主产区为重点，整村整镇整片推进高标准农田建设，健全高标准农田改造更新机制，新建高标准农田24万亩，完成丘陵山区高标准农田改造提升5万亩，加快建成一批</w:t>
      </w:r>
      <w:r>
        <w:rPr>
          <w:rFonts w:hint="eastAsia" w:ascii="方正仿宋_GBK" w:hAnsi="方正仿宋_GBK"/>
        </w:rPr>
        <w:t>“</w:t>
      </w:r>
      <w:r>
        <w:rPr>
          <w:rFonts w:hint="eastAsia"/>
        </w:rPr>
        <w:t>宜机宜耕、能排能灌、高产稳产、旱涝保收</w:t>
      </w:r>
      <w:r>
        <w:rPr>
          <w:rFonts w:hint="eastAsia" w:ascii="方正仿宋_GBK" w:hAnsi="方正仿宋_GBK"/>
        </w:rPr>
        <w:t>”</w:t>
      </w:r>
      <w:r>
        <w:rPr>
          <w:rFonts w:hint="eastAsia"/>
        </w:rPr>
        <w:t>的现代粮油产业示范区</w:t>
      </w:r>
      <w:bookmarkEnd w:id="67"/>
      <w:r>
        <w:rPr>
          <w:rFonts w:hint="eastAsia"/>
        </w:rPr>
        <w:t>。</w:t>
      </w:r>
      <w:r>
        <w:rPr>
          <w:rFonts w:hint="eastAsia"/>
          <w:b/>
          <w:bCs/>
        </w:rPr>
        <w:t>二是</w:t>
      </w:r>
      <w:bookmarkStart w:id="68" w:name="OLE_LINK66"/>
      <w:r>
        <w:rPr>
          <w:rFonts w:hint="eastAsia"/>
          <w:b/>
          <w:bCs/>
        </w:rPr>
        <w:t>实施农业机械化水平提升工程</w:t>
      </w:r>
      <w:bookmarkEnd w:id="68"/>
      <w:r>
        <w:rPr>
          <w:rFonts w:hint="eastAsia"/>
          <w:b/>
          <w:bCs/>
        </w:rPr>
        <w:t>。</w:t>
      </w:r>
      <w:bookmarkStart w:id="69" w:name="OLE_LINK68"/>
      <w:r>
        <w:rPr>
          <w:rFonts w:hint="eastAsia"/>
        </w:rPr>
        <w:t>加强农田宜机化整治，改善农机通行和作业条件。加快农机装备现代化建设，开展粮油、柑橘等主要作物高效植保、产地烘干、秸秆处理、耕种收等全程机械化示范。推进农机作业社会化服务，每年扶持5个社会化服务组织。加强农机技能培训，每年至少举办2期60人的农机操作和维修技能人才培训</w:t>
      </w:r>
      <w:bookmarkEnd w:id="69"/>
      <w:r>
        <w:rPr>
          <w:rFonts w:hint="eastAsia"/>
        </w:rPr>
        <w:t>。到2</w:t>
      </w:r>
      <w:r>
        <w:t>024</w:t>
      </w:r>
      <w:r>
        <w:rPr>
          <w:rFonts w:hint="eastAsia"/>
        </w:rPr>
        <w:t>年，</w:t>
      </w:r>
      <w:bookmarkStart w:id="70" w:name="OLE_LINK70"/>
      <w:r>
        <w:rPr>
          <w:rFonts w:hint="eastAsia"/>
        </w:rPr>
        <w:t>全县土地宜机化整治面积达到3万亩，农业机械拥有量新增5万台套、达到30万台套</w:t>
      </w:r>
      <w:bookmarkEnd w:id="70"/>
      <w:r>
        <w:rPr>
          <w:rFonts w:hint="eastAsia"/>
        </w:rPr>
        <w:t>。</w:t>
      </w:r>
    </w:p>
    <w:p>
      <w:pPr>
        <w:ind w:firstLine="640"/>
      </w:pPr>
      <w:r>
        <w:rPr>
          <w:rFonts w:hint="eastAsia" w:ascii="方正楷体_GBK" w:eastAsia="方正楷体_GBK"/>
        </w:rPr>
        <w:t>（四）</w:t>
      </w:r>
      <w:bookmarkStart w:id="71" w:name="OLE_LINK71"/>
      <w:r>
        <w:rPr>
          <w:rFonts w:hint="eastAsia" w:ascii="方正楷体_GBK" w:eastAsia="方正楷体_GBK"/>
        </w:rPr>
        <w:t>扎实推动农业绿色发展</w:t>
      </w:r>
      <w:bookmarkEnd w:id="71"/>
      <w:r>
        <w:rPr>
          <w:rFonts w:hint="eastAsia"/>
        </w:rPr>
        <w:t>。</w:t>
      </w:r>
    </w:p>
    <w:p>
      <w:pPr>
        <w:ind w:firstLine="640"/>
      </w:pPr>
      <w:r>
        <w:rPr>
          <w:rFonts w:hint="eastAsia"/>
        </w:rPr>
        <w:t>工作目标：到2</w:t>
      </w:r>
      <w:r>
        <w:t>024</w:t>
      </w:r>
      <w:r>
        <w:rPr>
          <w:rFonts w:hint="eastAsia"/>
        </w:rPr>
        <w:t>年，</w:t>
      </w:r>
      <w:bookmarkStart w:id="72" w:name="OLE_LINK24"/>
      <w:r>
        <w:rPr>
          <w:rFonts w:hint="eastAsia"/>
        </w:rPr>
        <w:t>全县化肥、农药使用量分别比2</w:t>
      </w:r>
      <w:r>
        <w:t>021</w:t>
      </w:r>
      <w:r>
        <w:rPr>
          <w:rFonts w:hint="eastAsia"/>
        </w:rPr>
        <w:t>年下降0.3</w:t>
      </w:r>
      <w:r>
        <w:rPr>
          <w:rFonts w:cs="Times New Roman"/>
        </w:rPr>
        <w:t>%</w:t>
      </w:r>
      <w:r>
        <w:rPr>
          <w:rFonts w:hint="eastAsia"/>
        </w:rPr>
        <w:t>、0.35</w:t>
      </w:r>
      <w:r>
        <w:rPr>
          <w:rFonts w:cs="Times New Roman"/>
        </w:rPr>
        <w:t>%</w:t>
      </w:r>
      <w:bookmarkEnd w:id="72"/>
      <w:r>
        <w:rPr>
          <w:rFonts w:hint="eastAsia"/>
        </w:rPr>
        <w:t>，</w:t>
      </w:r>
      <w:bookmarkStart w:id="73" w:name="OLE_LINK25"/>
      <w:r>
        <w:rPr>
          <w:rFonts w:hint="eastAsia"/>
        </w:rPr>
        <w:t>畜禽粪污综合利用率稳定在95</w:t>
      </w:r>
      <w:r>
        <w:rPr>
          <w:rFonts w:cs="Times New Roman"/>
        </w:rPr>
        <w:t>%</w:t>
      </w:r>
      <w:r>
        <w:rPr>
          <w:rFonts w:hint="eastAsia"/>
        </w:rPr>
        <w:t>以上，农作物秸秆综合利用率稳定在90</w:t>
      </w:r>
      <w:r>
        <w:rPr>
          <w:rFonts w:cs="Times New Roman"/>
        </w:rPr>
        <w:t>%</w:t>
      </w:r>
      <w:r>
        <w:rPr>
          <w:rFonts w:hint="eastAsia"/>
        </w:rPr>
        <w:t>以上，农药包装废弃物回收率达到60</w:t>
      </w:r>
      <w:r>
        <w:rPr>
          <w:rFonts w:cs="Times New Roman"/>
        </w:rPr>
        <w:t>%</w:t>
      </w:r>
      <w:bookmarkEnd w:id="73"/>
      <w:r>
        <w:rPr>
          <w:rFonts w:hint="eastAsia"/>
        </w:rPr>
        <w:t>。</w:t>
      </w:r>
    </w:p>
    <w:p>
      <w:pPr>
        <w:ind w:firstLine="640"/>
      </w:pPr>
      <w:r>
        <w:rPr>
          <w:rFonts w:hint="eastAsia"/>
        </w:rPr>
        <w:t>具体措施：</w:t>
      </w:r>
      <w:r>
        <w:rPr>
          <w:rFonts w:hint="eastAsia"/>
          <w:b/>
          <w:bCs/>
        </w:rPr>
        <w:t>一是</w:t>
      </w:r>
      <w:bookmarkStart w:id="74" w:name="OLE_LINK72"/>
      <w:r>
        <w:rPr>
          <w:rFonts w:hint="eastAsia"/>
          <w:b/>
          <w:bCs/>
        </w:rPr>
        <w:t>打好长江</w:t>
      </w:r>
      <w:r>
        <w:rPr>
          <w:rFonts w:hint="eastAsia" w:ascii="方正仿宋_GBK" w:hAnsi="方正仿宋_GBK"/>
          <w:b/>
          <w:bCs/>
        </w:rPr>
        <w:t>“</w:t>
      </w:r>
      <w:r>
        <w:rPr>
          <w:rFonts w:hint="eastAsia"/>
          <w:b/>
          <w:bCs/>
        </w:rPr>
        <w:t>十年禁渔</w:t>
      </w:r>
      <w:r>
        <w:rPr>
          <w:rFonts w:hint="eastAsia" w:ascii="方正仿宋_GBK" w:hAnsi="方正仿宋_GBK"/>
          <w:b/>
          <w:bCs/>
        </w:rPr>
        <w:t>”</w:t>
      </w:r>
      <w:r>
        <w:rPr>
          <w:rFonts w:hint="eastAsia"/>
          <w:b/>
          <w:bCs/>
        </w:rPr>
        <w:t>持久战</w:t>
      </w:r>
      <w:bookmarkEnd w:id="74"/>
      <w:r>
        <w:rPr>
          <w:rFonts w:hint="eastAsia"/>
          <w:b/>
          <w:bCs/>
        </w:rPr>
        <w:t>。</w:t>
      </w:r>
      <w:bookmarkStart w:id="75" w:name="OLE_LINK75"/>
      <w:r>
        <w:rPr>
          <w:rFonts w:hint="eastAsia"/>
        </w:rPr>
        <w:t>完善禁捕水域</w:t>
      </w:r>
      <w:r>
        <w:rPr>
          <w:rFonts w:hint="eastAsia" w:ascii="方正仿宋_GBK" w:hAnsi="方正仿宋_GBK"/>
        </w:rPr>
        <w:t>“</w:t>
      </w:r>
      <w:r>
        <w:rPr>
          <w:rFonts w:hint="eastAsia"/>
        </w:rPr>
        <w:t>县、乡、村</w:t>
      </w:r>
      <w:r>
        <w:rPr>
          <w:rFonts w:hint="eastAsia" w:ascii="方正仿宋_GBK" w:hAnsi="方正仿宋_GBK"/>
        </w:rPr>
        <w:t>”</w:t>
      </w:r>
      <w:r>
        <w:rPr>
          <w:rFonts w:hint="eastAsia"/>
        </w:rPr>
        <w:t>三级网格化监管体系，实现常态化巡护不留盲区。深化渔政执法能力建设，采取</w:t>
      </w:r>
      <w:r>
        <w:rPr>
          <w:rFonts w:hint="eastAsia" w:ascii="方正仿宋_GBK" w:hAnsi="方正仿宋_GBK"/>
        </w:rPr>
        <w:t>“</w:t>
      </w:r>
      <w:r>
        <w:rPr>
          <w:rFonts w:hint="eastAsia"/>
        </w:rPr>
        <w:t>人防+技防</w:t>
      </w:r>
      <w:r>
        <w:rPr>
          <w:rFonts w:hint="eastAsia" w:ascii="方正仿宋_GBK" w:hAnsi="方正仿宋_GBK"/>
        </w:rPr>
        <w:t>”</w:t>
      </w:r>
      <w:r>
        <w:rPr>
          <w:rFonts w:hint="eastAsia"/>
        </w:rPr>
        <w:t>方式，织密禁捕监管网。高压严打非法捕捞，常态化开展</w:t>
      </w:r>
      <w:r>
        <w:rPr>
          <w:rFonts w:hint="eastAsia" w:ascii="方正仿宋_GBK" w:hAnsi="方正仿宋_GBK"/>
        </w:rPr>
        <w:t>“</w:t>
      </w:r>
      <w:r>
        <w:rPr>
          <w:rFonts w:hint="eastAsia"/>
        </w:rPr>
        <w:t>四清四无</w:t>
      </w:r>
      <w:r>
        <w:rPr>
          <w:rFonts w:hint="eastAsia" w:ascii="方正仿宋_GBK" w:hAnsi="方正仿宋_GBK"/>
        </w:rPr>
        <w:t>”</w:t>
      </w:r>
      <w:r>
        <w:rPr>
          <w:rFonts w:hint="eastAsia"/>
        </w:rPr>
        <w:t>专项行动，强化联防联控，彻底斩断非法捕捞、运输、销售长江野生鱼类的黑色产业链</w:t>
      </w:r>
      <w:bookmarkEnd w:id="75"/>
      <w:r>
        <w:rPr>
          <w:rFonts w:hint="eastAsia"/>
        </w:rPr>
        <w:t>。</w:t>
      </w:r>
      <w:r>
        <w:rPr>
          <w:rFonts w:hint="eastAsia"/>
          <w:b/>
          <w:bCs/>
        </w:rPr>
        <w:t>二是</w:t>
      </w:r>
      <w:bookmarkStart w:id="76" w:name="OLE_LINK73"/>
      <w:r>
        <w:rPr>
          <w:rFonts w:hint="eastAsia"/>
          <w:b/>
          <w:bCs/>
        </w:rPr>
        <w:t>深入推进化肥农药减量增效行动</w:t>
      </w:r>
      <w:bookmarkEnd w:id="76"/>
      <w:r>
        <w:rPr>
          <w:rFonts w:hint="eastAsia"/>
          <w:b/>
          <w:bCs/>
        </w:rPr>
        <w:t>。</w:t>
      </w:r>
      <w:bookmarkStart w:id="77" w:name="OLE_LINK76"/>
      <w:r>
        <w:rPr>
          <w:rFonts w:hint="eastAsia"/>
        </w:rPr>
        <w:t>持续开展</w:t>
      </w:r>
      <w:r>
        <w:rPr>
          <w:rFonts w:hint="eastAsia" w:ascii="方正仿宋_GBK"/>
          <w:color w:val="000000" w:themeColor="text1"/>
          <w14:textFill>
            <w14:solidFill>
              <w14:schemeClr w14:val="tx1"/>
            </w14:solidFill>
          </w14:textFill>
        </w:rPr>
        <w:t>县级化肥农药减量示范片建设，示范推广化肥农药主要减量技术。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强化化肥农药减量技术培训，实现全县规模种植户、农资经销商和村社干部培训全覆盖</w:t>
      </w:r>
      <w:bookmarkEnd w:id="77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三是</w:t>
      </w:r>
      <w:bookmarkStart w:id="78" w:name="OLE_LINK74"/>
      <w:r>
        <w:rPr>
          <w:rFonts w:hint="eastAsia"/>
          <w:b/>
          <w:bCs/>
        </w:rPr>
        <w:t>加强农业废弃物资源化利用</w:t>
      </w:r>
      <w:bookmarkEnd w:id="78"/>
      <w:r>
        <w:rPr>
          <w:rFonts w:hint="eastAsia"/>
          <w:b/>
          <w:bCs/>
        </w:rPr>
        <w:t>。</w:t>
      </w:r>
      <w:bookmarkStart w:id="79" w:name="OLE_LINK77"/>
      <w:r>
        <w:rPr>
          <w:rFonts w:hint="eastAsia"/>
        </w:rPr>
        <w:t>加快畜禽养殖废弃物资源化利用，加强巡察监管和设施配套，建设巴阳镇畜禽粪污资源化生态利用处理中心。强化农作物秸秆综合利用，大力推广肥料化、饲料化、基料化等秸秆利用技术。开展农药包装废弃物回收利用，建立健全</w:t>
      </w:r>
      <w:r>
        <w:rPr>
          <w:rFonts w:hint="eastAsia" w:ascii="方正仿宋_GBK" w:hAnsi="方正仿宋_GBK"/>
        </w:rPr>
        <w:t>“</w:t>
      </w:r>
      <w:r>
        <w:rPr>
          <w:rFonts w:hint="eastAsia"/>
        </w:rPr>
        <w:t>1中心+</w:t>
      </w:r>
      <w:r>
        <w:t>42</w:t>
      </w:r>
      <w:r>
        <w:rPr>
          <w:rFonts w:hint="eastAsia"/>
        </w:rPr>
        <w:t>个回收站（点）</w:t>
      </w:r>
      <w:r>
        <w:rPr>
          <w:rFonts w:hint="eastAsia" w:ascii="方正仿宋_GBK" w:hAnsi="方正仿宋_GBK"/>
        </w:rPr>
        <w:t>”</w:t>
      </w:r>
      <w:r>
        <w:rPr>
          <w:rFonts w:hint="eastAsia"/>
        </w:rPr>
        <w:t>的回收体系，积极探索</w:t>
      </w:r>
      <w:r>
        <w:rPr>
          <w:rFonts w:hint="eastAsia" w:ascii="方正仿宋_GBK" w:hAnsi="方正仿宋_GBK"/>
        </w:rPr>
        <w:t>“</w:t>
      </w:r>
      <w:r>
        <w:rPr>
          <w:rFonts w:hint="eastAsia"/>
        </w:rPr>
        <w:t>押金制</w:t>
      </w:r>
      <w:r>
        <w:rPr>
          <w:rFonts w:hint="eastAsia" w:ascii="方正仿宋_GBK" w:hAnsi="方正仿宋_GBK"/>
        </w:rPr>
        <w:t>”“</w:t>
      </w:r>
      <w:r>
        <w:rPr>
          <w:rFonts w:hint="eastAsia"/>
        </w:rPr>
        <w:t>补贴制</w:t>
      </w:r>
      <w:r>
        <w:rPr>
          <w:rFonts w:hint="eastAsia" w:ascii="方正仿宋_GBK" w:hAnsi="方正仿宋_GBK"/>
        </w:rPr>
        <w:t>”</w:t>
      </w:r>
      <w:r>
        <w:rPr>
          <w:rFonts w:hint="eastAsia"/>
        </w:rPr>
        <w:t>等回收制度</w:t>
      </w:r>
      <w:bookmarkEnd w:id="79"/>
      <w:r>
        <w:rPr>
          <w:rFonts w:hint="eastAsia"/>
        </w:rPr>
        <w:t>。</w:t>
      </w:r>
    </w:p>
    <w:p>
      <w:pPr>
        <w:ind w:firstLine="640"/>
        <w:rPr>
          <w:rFonts w:ascii="方正黑体_GBK" w:eastAsia="方正黑体_GBK"/>
        </w:rPr>
      </w:pPr>
      <w:bookmarkStart w:id="80" w:name="OLE_LINK150"/>
      <w:r>
        <w:rPr>
          <w:rFonts w:hint="eastAsia" w:ascii="方正黑体_GBK" w:eastAsia="方正黑体_GBK"/>
        </w:rPr>
        <w:t>三、</w:t>
      </w:r>
      <w:bookmarkStart w:id="81" w:name="OLE_LINK171"/>
      <w:r>
        <w:rPr>
          <w:rFonts w:hint="eastAsia" w:ascii="方正黑体_GBK" w:eastAsia="方正黑体_GBK"/>
        </w:rPr>
        <w:t>围绕</w:t>
      </w:r>
      <w:r>
        <w:rPr>
          <w:rFonts w:hint="eastAsia" w:ascii="方正仿宋_GBK" w:hAnsi="方正仿宋_GBK"/>
        </w:rPr>
        <w:t>“</w:t>
      </w:r>
      <w:r>
        <w:rPr>
          <w:rFonts w:hint="eastAsia" w:ascii="方正黑体_GBK" w:eastAsia="方正黑体_GBK"/>
        </w:rPr>
        <w:t>创新性要求</w:t>
      </w:r>
      <w:r>
        <w:rPr>
          <w:rFonts w:hint="eastAsia" w:ascii="方正仿宋_GBK" w:hAnsi="方正仿宋_GBK"/>
        </w:rPr>
        <w:t>”</w:t>
      </w:r>
      <w:r>
        <w:rPr>
          <w:rFonts w:hint="eastAsia" w:ascii="方正黑体_GBK" w:eastAsia="方正黑体_GBK"/>
        </w:rPr>
        <w:t>，实施</w:t>
      </w:r>
      <w:bookmarkStart w:id="82" w:name="OLE_LINK164"/>
      <w:r>
        <w:rPr>
          <w:rFonts w:hint="eastAsia" w:ascii="方正黑体_GBK" w:eastAsia="方正黑体_GBK"/>
        </w:rPr>
        <w:t>农业农村改革创新行动</w:t>
      </w:r>
      <w:bookmarkEnd w:id="81"/>
      <w:bookmarkEnd w:id="82"/>
    </w:p>
    <w:bookmarkEnd w:id="80"/>
    <w:p>
      <w:pPr>
        <w:ind w:firstLine="640"/>
        <w:rPr>
          <w:u w:val="thick"/>
        </w:rPr>
      </w:pPr>
      <w:r>
        <w:rPr>
          <w:rFonts w:hint="eastAsia" w:ascii="方正楷体_GBK" w:eastAsia="方正楷体_GBK"/>
        </w:rPr>
        <w:t>（一）</w:t>
      </w:r>
      <w:bookmarkStart w:id="83" w:name="OLE_LINK34"/>
      <w:r>
        <w:rPr>
          <w:rFonts w:hint="eastAsia" w:ascii="方正楷体_GBK" w:eastAsia="方正楷体_GBK"/>
        </w:rPr>
        <w:t>加强农业科技创新</w:t>
      </w:r>
      <w:bookmarkEnd w:id="83"/>
      <w:r>
        <w:rPr>
          <w:rFonts w:hint="eastAsia" w:ascii="方正楷体_GBK" w:eastAsia="方正楷体_GBK"/>
        </w:rPr>
        <w:t>。</w:t>
      </w:r>
    </w:p>
    <w:p>
      <w:pPr>
        <w:ind w:firstLine="640"/>
      </w:pPr>
      <w:r>
        <w:rPr>
          <w:rFonts w:hint="eastAsia"/>
        </w:rPr>
        <w:t>工作目标：到2</w:t>
      </w:r>
      <w:r>
        <w:t>024</w:t>
      </w:r>
      <w:r>
        <w:rPr>
          <w:rFonts w:hint="eastAsia"/>
        </w:rPr>
        <w:t>年，全县农业科技进步贡献率达到63</w:t>
      </w:r>
      <w:r>
        <w:rPr>
          <w:rFonts w:cs="Times New Roman"/>
        </w:rPr>
        <w:t>%</w:t>
      </w:r>
      <w:r>
        <w:rPr>
          <w:rFonts w:hint="eastAsia"/>
        </w:rPr>
        <w:t>，农业生产数字化水平提升至28</w:t>
      </w:r>
      <w:r>
        <w:rPr>
          <w:rFonts w:cs="Times New Roman"/>
        </w:rPr>
        <w:t>%</w:t>
      </w:r>
      <w:r>
        <w:rPr>
          <w:rFonts w:hint="eastAsia"/>
        </w:rPr>
        <w:t>，新培育高素质农民300人、农村致富带头人1500人。</w:t>
      </w:r>
    </w:p>
    <w:p>
      <w:pPr>
        <w:ind w:firstLine="640"/>
      </w:pPr>
      <w:r>
        <w:rPr>
          <w:rFonts w:hint="eastAsia"/>
        </w:rPr>
        <w:t>具体措施：</w:t>
      </w:r>
      <w:r>
        <w:rPr>
          <w:rFonts w:hint="eastAsia"/>
          <w:b/>
          <w:bCs/>
        </w:rPr>
        <w:t>一是</w:t>
      </w:r>
      <w:bookmarkStart w:id="84" w:name="OLE_LINK44"/>
      <w:r>
        <w:rPr>
          <w:rFonts w:hint="eastAsia"/>
          <w:b/>
          <w:bCs/>
        </w:rPr>
        <w:t>强化推广应用</w:t>
      </w:r>
      <w:bookmarkEnd w:id="84"/>
      <w:r>
        <w:rPr>
          <w:rFonts w:hint="eastAsia"/>
          <w:b/>
          <w:bCs/>
        </w:rPr>
        <w:t>。</w:t>
      </w:r>
      <w:bookmarkStart w:id="85" w:name="OLE_LINK80"/>
      <w:r>
        <w:rPr>
          <w:rFonts w:hint="eastAsia"/>
        </w:rPr>
        <w:t>开展新品种新技术试验推广，每年推介农业主推技术8项以上。推进示范基地建设，到2</w:t>
      </w:r>
      <w:r>
        <w:t>024</w:t>
      </w:r>
      <w:r>
        <w:rPr>
          <w:rFonts w:hint="eastAsia"/>
        </w:rPr>
        <w:t>年，创建国家数字农业创新应用基地1个、农业科技示范基地</w:t>
      </w:r>
      <w:r>
        <w:t>6</w:t>
      </w:r>
      <w:r>
        <w:rPr>
          <w:rFonts w:hint="eastAsia"/>
        </w:rPr>
        <w:t>个，建设智慧农业试验示范基地10个，建设畜禽、水产、柑橘等种繁基地1</w:t>
      </w:r>
      <w:r>
        <w:t>0</w:t>
      </w:r>
      <w:r>
        <w:rPr>
          <w:rFonts w:hint="eastAsia"/>
        </w:rPr>
        <w:t>个</w:t>
      </w:r>
      <w:bookmarkEnd w:id="85"/>
      <w:r>
        <w:rPr>
          <w:rFonts w:hint="eastAsia"/>
        </w:rPr>
        <w:t>。</w:t>
      </w:r>
      <w:r>
        <w:rPr>
          <w:rFonts w:hint="eastAsia"/>
          <w:b/>
          <w:bCs/>
        </w:rPr>
        <w:t>二是</w:t>
      </w:r>
      <w:bookmarkStart w:id="86" w:name="OLE_LINK78"/>
      <w:r>
        <w:rPr>
          <w:rFonts w:hint="eastAsia"/>
          <w:b/>
          <w:bCs/>
        </w:rPr>
        <w:t>强化技术支撑</w:t>
      </w:r>
      <w:bookmarkEnd w:id="86"/>
      <w:r>
        <w:rPr>
          <w:rFonts w:hint="eastAsia"/>
          <w:b/>
          <w:bCs/>
        </w:rPr>
        <w:t>。</w:t>
      </w:r>
      <w:bookmarkStart w:id="87" w:name="OLE_LINK81"/>
      <w:r>
        <w:rPr>
          <w:rFonts w:hint="eastAsia"/>
        </w:rPr>
        <w:t>与高校分支机构、科研平台、科技服务工作站、市级产业技术体系创新团队等开展合作，在我县布局综合试验站、科技示范基地、专家工作室、成果转化中心5个</w:t>
      </w:r>
      <w:bookmarkEnd w:id="87"/>
      <w:r>
        <w:rPr>
          <w:rFonts w:hint="eastAsia"/>
        </w:rPr>
        <w:t>。</w:t>
      </w:r>
      <w:r>
        <w:rPr>
          <w:rFonts w:hint="eastAsia"/>
          <w:b/>
          <w:bCs/>
        </w:rPr>
        <w:t>三是</w:t>
      </w:r>
      <w:bookmarkStart w:id="88" w:name="OLE_LINK79"/>
      <w:r>
        <w:rPr>
          <w:rFonts w:hint="eastAsia"/>
          <w:b/>
          <w:bCs/>
        </w:rPr>
        <w:t>强化农民培育</w:t>
      </w:r>
      <w:bookmarkEnd w:id="88"/>
      <w:r>
        <w:rPr>
          <w:rFonts w:hint="eastAsia"/>
        </w:rPr>
        <w:t>。</w:t>
      </w:r>
      <w:bookmarkStart w:id="89" w:name="OLE_LINK82"/>
      <w:r>
        <w:rPr>
          <w:rFonts w:hint="eastAsia"/>
        </w:rPr>
        <w:t>坚持数量和质量并重，实施农村致富带头人培养、高素质农民培育提升行动，健全分级分类培训体系，优化升级农民田间学校等培训平台，引育提升农民教育师资力量，完善职业农民、致富带头人、农村实用人才等评定规则及办法，</w:t>
      </w:r>
      <w:bookmarkEnd w:id="89"/>
      <w:bookmarkStart w:id="90" w:name="OLE_LINK83"/>
      <w:r>
        <w:rPr>
          <w:rFonts w:hint="eastAsia"/>
        </w:rPr>
        <w:t>每年农村致富带头人和高素质农民培训数量较上年增长1</w:t>
      </w:r>
      <w:r>
        <w:t>0</w:t>
      </w:r>
      <w:r>
        <w:rPr>
          <w:rFonts w:cs="Times New Roman"/>
        </w:rPr>
        <w:t>%</w:t>
      </w:r>
      <w:r>
        <w:rPr>
          <w:rFonts w:hint="eastAsia"/>
        </w:rPr>
        <w:t>，三年内培训学员满意度由85</w:t>
      </w:r>
      <w:r>
        <w:rPr>
          <w:rFonts w:cs="Times New Roman"/>
        </w:rPr>
        <w:t>%</w:t>
      </w:r>
      <w:r>
        <w:rPr>
          <w:rFonts w:hint="eastAsia"/>
        </w:rPr>
        <w:t>提高至95</w:t>
      </w:r>
      <w:r>
        <w:rPr>
          <w:rFonts w:cs="Times New Roman"/>
        </w:rPr>
        <w:t>%</w:t>
      </w:r>
      <w:bookmarkEnd w:id="90"/>
      <w:r>
        <w:rPr>
          <w:rFonts w:hint="eastAsia"/>
        </w:rPr>
        <w:t>。</w:t>
      </w:r>
    </w:p>
    <w:p>
      <w:pPr>
        <w:ind w:firstLine="640"/>
      </w:pPr>
      <w:r>
        <w:rPr>
          <w:rFonts w:hint="eastAsia" w:ascii="方正楷体_GBK" w:eastAsia="方正楷体_GBK"/>
        </w:rPr>
        <w:t>（二）</w:t>
      </w:r>
      <w:bookmarkStart w:id="91" w:name="OLE_LINK84"/>
      <w:r>
        <w:rPr>
          <w:rFonts w:hint="eastAsia" w:ascii="方正楷体_GBK" w:eastAsia="方正楷体_GBK"/>
        </w:rPr>
        <w:t>培育壮大农业市场主体</w:t>
      </w:r>
      <w:bookmarkEnd w:id="91"/>
      <w:r>
        <w:rPr>
          <w:rFonts w:hint="eastAsia" w:ascii="方正楷体_GBK" w:eastAsia="方正楷体_GBK"/>
        </w:rPr>
        <w:t>。</w:t>
      </w:r>
    </w:p>
    <w:p>
      <w:pPr>
        <w:ind w:firstLine="640"/>
      </w:pPr>
      <w:r>
        <w:rPr>
          <w:rFonts w:hint="eastAsia"/>
        </w:rPr>
        <w:t>工作目标：</w:t>
      </w:r>
      <w:bookmarkStart w:id="92" w:name="OLE_LINK89"/>
      <w:r>
        <w:rPr>
          <w:rFonts w:hint="eastAsia"/>
        </w:rPr>
        <w:t>到2024年，全县家庭农场达到2500家，实现翻一番；国家级示范社达到15家、市级示范社达到50家、县级示范社达到75家，县级以上示范合作社总量增长45</w:t>
      </w:r>
      <w:r>
        <w:rPr>
          <w:rFonts w:cs="Times New Roman"/>
        </w:rPr>
        <w:t>%</w:t>
      </w:r>
      <w:bookmarkEnd w:id="92"/>
      <w:r>
        <w:rPr>
          <w:rFonts w:hint="eastAsia"/>
        </w:rPr>
        <w:t>；</w:t>
      </w:r>
      <w:bookmarkStart w:id="93" w:name="OLE_LINK90"/>
      <w:r>
        <w:rPr>
          <w:rFonts w:hint="eastAsia"/>
        </w:rPr>
        <w:t>农业生产社会化服务组织达到1000个，实现翻一番；社会化服务面积达到75万亩次，年均增长10</w:t>
      </w:r>
      <w:r>
        <w:rPr>
          <w:rFonts w:cs="Times New Roman"/>
        </w:rPr>
        <w:t>%</w:t>
      </w:r>
      <w:bookmarkEnd w:id="93"/>
      <w:r>
        <w:rPr>
          <w:rFonts w:hint="eastAsia"/>
        </w:rPr>
        <w:t>。</w:t>
      </w:r>
    </w:p>
    <w:p>
      <w:pPr>
        <w:ind w:firstLine="640"/>
        <w:rPr>
          <w:u w:val="thick"/>
        </w:rPr>
      </w:pPr>
      <w:r>
        <w:rPr>
          <w:rFonts w:hint="eastAsia"/>
        </w:rPr>
        <w:t>具体措施：</w:t>
      </w:r>
      <w:r>
        <w:rPr>
          <w:rFonts w:hint="eastAsia"/>
          <w:b/>
          <w:bCs/>
        </w:rPr>
        <w:t>一是</w:t>
      </w:r>
      <w:bookmarkStart w:id="94" w:name="OLE_LINK85"/>
      <w:r>
        <w:rPr>
          <w:rFonts w:hint="eastAsia"/>
          <w:b/>
          <w:bCs/>
        </w:rPr>
        <w:t>培育壮大新型农业经营主体</w:t>
      </w:r>
      <w:bookmarkEnd w:id="94"/>
      <w:r>
        <w:rPr>
          <w:rFonts w:hint="eastAsia"/>
          <w:b/>
          <w:bCs/>
        </w:rPr>
        <w:t>。</w:t>
      </w:r>
      <w:bookmarkStart w:id="95" w:name="OLE_LINK87"/>
      <w:r>
        <w:rPr>
          <w:rFonts w:hint="eastAsia"/>
        </w:rPr>
        <w:t>实施家庭农场倍增计划，加强家庭农场名录库系统的管理，积极引导符合家庭农场条件的经营户全部登记注册，三年间分别新增培育家庭农场300家、400家、500家。加强示范合作社创建，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巩固提升全县农民专业合作社质量，</w:t>
      </w:r>
      <w:r>
        <w:rPr>
          <w:rFonts w:hint="eastAsia" w:cs="Times New Roman"/>
        </w:rPr>
        <w:t>年新增创建县级以上示范社15家</w:t>
      </w:r>
      <w:bookmarkEnd w:id="95"/>
      <w:r>
        <w:rPr>
          <w:rFonts w:hint="eastAsia" w:cs="Times New Roman"/>
        </w:rPr>
        <w:t>。</w:t>
      </w:r>
      <w:r>
        <w:rPr>
          <w:rFonts w:hint="eastAsia" w:cs="Times New Roman"/>
          <w:b/>
          <w:bCs/>
        </w:rPr>
        <w:t>二是</w:t>
      </w:r>
      <w:bookmarkStart w:id="96" w:name="OLE_LINK86"/>
      <w:r>
        <w:rPr>
          <w:rFonts w:hint="eastAsia" w:cs="Times New Roman"/>
          <w:b/>
          <w:bCs/>
        </w:rPr>
        <w:t>培育壮大</w:t>
      </w:r>
      <w:r>
        <w:rPr>
          <w:rFonts w:hint="eastAsia"/>
          <w:b/>
          <w:bCs/>
        </w:rPr>
        <w:t>农业社会化服务组织</w:t>
      </w:r>
      <w:bookmarkEnd w:id="96"/>
      <w:r>
        <w:rPr>
          <w:rFonts w:hint="eastAsia"/>
        </w:rPr>
        <w:t>。</w:t>
      </w:r>
      <w:bookmarkStart w:id="97" w:name="OLE_LINK88"/>
      <w:r>
        <w:rPr>
          <w:rFonts w:hint="eastAsia"/>
        </w:rPr>
        <w:t>聚焦粮油、柑橘等重点产业，积极组建柑橘产业联合体、规模化农机服务组织、粮油社会化服务组织等，鼓励服务主体创新服务模式和组织形式，从产中向产前、产后等环节及金融保险等配套服务延伸，满足多样化服务需求</w:t>
      </w:r>
      <w:bookmarkEnd w:id="97"/>
      <w:r>
        <w:rPr>
          <w:rFonts w:hint="eastAsia"/>
        </w:rPr>
        <w:t>。</w:t>
      </w:r>
    </w:p>
    <w:p>
      <w:pPr>
        <w:ind w:firstLine="640"/>
      </w:pPr>
      <w:r>
        <w:rPr>
          <w:rFonts w:hint="eastAsia" w:ascii="方正楷体_GBK" w:eastAsia="方正楷体_GBK"/>
        </w:rPr>
        <w:t>（三）</w:t>
      </w:r>
      <w:bookmarkStart w:id="98" w:name="OLE_LINK91"/>
      <w:r>
        <w:rPr>
          <w:rFonts w:hint="eastAsia" w:ascii="方正楷体_GBK" w:eastAsia="方正楷体_GBK"/>
        </w:rPr>
        <w:t>全面深化农业农村改革</w:t>
      </w:r>
      <w:bookmarkEnd w:id="98"/>
      <w:r>
        <w:rPr>
          <w:rFonts w:hint="eastAsia" w:ascii="方正楷体_GBK" w:eastAsia="方正楷体_GBK"/>
        </w:rPr>
        <w:t>。</w:t>
      </w:r>
    </w:p>
    <w:p>
      <w:pPr>
        <w:ind w:firstLine="643"/>
        <w:rPr>
          <w:rFonts w:cs="Times New Roman"/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工作目标：</w:t>
      </w:r>
      <w:bookmarkStart w:id="99" w:name="OLE_LINK101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到2024年，全县集体经济收入突破2亿元，实现收入翻番</w:t>
      </w:r>
      <w:bookmarkEnd w:id="99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；</w:t>
      </w:r>
      <w:bookmarkStart w:id="100" w:name="OLE_LINK103"/>
      <w:r>
        <w:rPr>
          <w:color w:val="000000" w:themeColor="text1"/>
          <w14:textFill>
            <w14:solidFill>
              <w14:schemeClr w14:val="tx1"/>
            </w14:solidFill>
          </w14:textFill>
        </w:rPr>
        <w:t>土地</w:t>
      </w:r>
      <w:r>
        <w:rPr>
          <w:rFonts w:cs="Times New Roman"/>
          <w:bCs/>
        </w:rPr>
        <w:t>流转适度规模经营面积</w:t>
      </w:r>
      <w:r>
        <w:rPr>
          <w:rFonts w:hint="eastAsia" w:cs="Times New Roman"/>
          <w:bCs/>
        </w:rPr>
        <w:t>达到65万亩，规模化经营占比达到45</w:t>
      </w:r>
      <w:r>
        <w:rPr>
          <w:rFonts w:cs="Times New Roman"/>
          <w:bCs/>
        </w:rPr>
        <w:t>%</w:t>
      </w:r>
      <w:r>
        <w:rPr>
          <w:rFonts w:hint="eastAsia" w:cs="Times New Roman"/>
          <w:bCs/>
        </w:rPr>
        <w:t>，年增长1</w:t>
      </w:r>
      <w:r>
        <w:rPr>
          <w:rFonts w:cs="Times New Roman"/>
          <w:bCs/>
        </w:rPr>
        <w:t>%</w:t>
      </w:r>
      <w:bookmarkEnd w:id="100"/>
      <w:r>
        <w:rPr>
          <w:rFonts w:hint="eastAsia" w:cs="Times New Roman"/>
          <w:bCs/>
        </w:rPr>
        <w:t>；</w:t>
      </w:r>
      <w:bookmarkStart w:id="101" w:name="OLE_LINK104"/>
      <w:r>
        <w:rPr>
          <w:rFonts w:hint="eastAsia" w:cs="Times New Roman"/>
          <w:bCs/>
        </w:rPr>
        <w:t>村集体总资产达到65亿元、增长10</w:t>
      </w:r>
      <w:r>
        <w:rPr>
          <w:rFonts w:cs="Times New Roman"/>
          <w:bCs/>
        </w:rPr>
        <w:t>%</w:t>
      </w:r>
      <w:r>
        <w:rPr>
          <w:rFonts w:hint="eastAsia" w:cs="Times New Roman"/>
          <w:bCs/>
        </w:rPr>
        <w:t>，村集体经营性资产达到2.6亿元、增长30</w:t>
      </w:r>
      <w:r>
        <w:rPr>
          <w:rFonts w:cs="Times New Roman"/>
          <w:bCs/>
        </w:rPr>
        <w:t>%</w:t>
      </w:r>
      <w:bookmarkEnd w:id="101"/>
      <w:r>
        <w:rPr>
          <w:rFonts w:hint="eastAsia" w:cs="Times New Roman"/>
          <w:bCs/>
        </w:rPr>
        <w:t>。</w:t>
      </w:r>
    </w:p>
    <w:p>
      <w:pPr>
        <w:pStyle w:val="2"/>
        <w:spacing w:line="578" w:lineRule="exact"/>
        <w:ind w:firstLine="643"/>
      </w:pPr>
      <w:r>
        <w:rPr>
          <w:rFonts w:ascii="Times New Roman" w:eastAsia="方正仿宋_GBK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具体措施：一是</w:t>
      </w:r>
      <w:bookmarkStart w:id="102" w:name="OLE_LINK92"/>
      <w:r>
        <w:rPr>
          <w:rFonts w:ascii="Times New Roman" w:eastAsia="方正仿宋_GBK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以农村</w:t>
      </w:r>
      <w:r>
        <w:rPr>
          <w:rFonts w:hint="eastAsia" w:ascii="方正仿宋_GBK" w:hAnsi="方正仿宋_GBK" w:eastAsia="方正仿宋_GBK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eastAsia="方正仿宋_GBK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三变</w:t>
      </w:r>
      <w:r>
        <w:rPr>
          <w:rFonts w:hint="eastAsia" w:ascii="方正仿宋_GBK" w:hAnsi="方正仿宋_GBK" w:eastAsia="方正仿宋_GBK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eastAsia="方正仿宋_GBK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改革为抓手壮大新型集体经济</w:t>
      </w:r>
      <w:bookmarkEnd w:id="102"/>
      <w:r>
        <w:rPr>
          <w:rFonts w:ascii="Times New Roman" w:eastAsia="方正仿宋_GBK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  <w:bookmarkStart w:id="103" w:name="OLE_LINK100"/>
      <w:r>
        <w:rPr>
          <w:rFonts w:ascii="Times New Roman"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每年新增</w:t>
      </w:r>
      <w:r>
        <w:rPr>
          <w:rFonts w:ascii="方正仿宋_GBK" w:hAnsi="方正仿宋_GBK"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三变</w:t>
      </w:r>
      <w:r>
        <w:rPr>
          <w:rFonts w:ascii="方正仿宋_GBK" w:hAnsi="方正仿宋_GBK"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改革试点村100个</w:t>
      </w:r>
      <w:r>
        <w:rPr>
          <w:rFonts w:hint="eastAsia" w:ascii="Times New Roman"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左右</w:t>
      </w:r>
      <w:r>
        <w:rPr>
          <w:rFonts w:ascii="Times New Roman"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，到2024年实现</w:t>
      </w:r>
      <w:r>
        <w:rPr>
          <w:rFonts w:hint="eastAsia" w:ascii="Times New Roman"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试点</w:t>
      </w:r>
      <w:r>
        <w:rPr>
          <w:rFonts w:ascii="Times New Roman"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村全覆盖</w:t>
      </w:r>
      <w:r>
        <w:rPr>
          <w:rFonts w:hint="eastAsia" w:ascii="Times New Roman"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eastAsia="方正仿宋_GBK"/>
          <w:snapToGrid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积极打造集体经济示范村，</w:t>
      </w:r>
      <w:r>
        <w:rPr>
          <w:rFonts w:hint="eastAsia" w:ascii="Times New Roman" w:eastAsia="方正仿宋_GBK"/>
          <w:snapToGrid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年均新培育年收益50万元的村5个，到2024年，集体经济示范村达到20个。</w:t>
      </w:r>
      <w:r>
        <w:rPr>
          <w:rFonts w:ascii="Times New Roman" w:eastAsia="方正仿宋_GBK"/>
          <w:snapToGrid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完善</w:t>
      </w:r>
      <w:r>
        <w:rPr>
          <w:rFonts w:hint="eastAsia" w:ascii="Times New Roman" w:eastAsia="方正仿宋_GBK"/>
          <w:snapToGrid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村集体</w:t>
      </w:r>
      <w:r>
        <w:rPr>
          <w:rFonts w:ascii="Times New Roman"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财务管理、资产管理、财务开支审批等内部管理制度，全面落实集体成员分红和经营管理人员薪酬奖励。</w:t>
      </w:r>
      <w:bookmarkEnd w:id="103"/>
      <w:r>
        <w:rPr>
          <w:rFonts w:ascii="Times New Roman" w:eastAsia="方正仿宋_GBK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二是</w:t>
      </w:r>
      <w:bookmarkStart w:id="104" w:name="OLE_LINK93"/>
      <w:r>
        <w:rPr>
          <w:rFonts w:ascii="Times New Roman" w:eastAsia="方正仿宋_GBK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持续深化农村土地</w:t>
      </w:r>
      <w:r>
        <w:rPr>
          <w:rFonts w:hint="eastAsia" w:ascii="方正仿宋_GBK" w:hAnsi="方正仿宋_GBK" w:eastAsia="方正仿宋_GBK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eastAsia="方正仿宋_GBK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三权分置</w:t>
      </w:r>
      <w:r>
        <w:rPr>
          <w:rFonts w:hint="eastAsia" w:ascii="方正仿宋_GBK" w:hAnsi="方正仿宋_GBK" w:eastAsia="方正仿宋_GBK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eastAsia="方正仿宋_GBK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改革</w:t>
      </w:r>
      <w:bookmarkEnd w:id="104"/>
      <w:r>
        <w:rPr>
          <w:rFonts w:ascii="Times New Roman" w:eastAsia="方正仿宋_GBK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  <w:bookmarkStart w:id="105" w:name="OLE_LINK102"/>
      <w:r>
        <w:rPr>
          <w:rFonts w:ascii="Times New Roman"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在稳定承包权的基础上，鼓励各乡镇、村社因地制宜探索土地托管、土地股份合作等盘活承包地新路径新模式，带动农业适度规模经营发展</w:t>
      </w:r>
      <w:bookmarkEnd w:id="105"/>
      <w:r>
        <w:rPr>
          <w:rFonts w:ascii="Times New Roman"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eastAsia="方正仿宋_GBK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三是</w:t>
      </w:r>
      <w:bookmarkStart w:id="106" w:name="OLE_LINK94"/>
      <w:r>
        <w:rPr>
          <w:rFonts w:hint="eastAsia" w:ascii="Times New Roman" w:eastAsia="方正仿宋_GBK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积极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探索盘活集体资产的有效途径</w:t>
      </w:r>
      <w:bookmarkEnd w:id="106"/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  <w:bookmarkStart w:id="107" w:name="OLE_LINK99"/>
      <w:r>
        <w:rPr>
          <w:rFonts w:ascii="Times New Roman" w:eastAsia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深度挖掘本地的自然资源和历史人文资源优势，</w:t>
      </w:r>
      <w:r>
        <w:rPr>
          <w:rFonts w:hint="eastAsia" w:ascii="Times New Roman" w:eastAsia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通过招商引资、惠农政策、发展产业等多种方式实现闲置资产资源盘活利用</w:t>
      </w:r>
      <w:bookmarkEnd w:id="107"/>
      <w:r>
        <w:rPr>
          <w:rFonts w:hint="eastAsia" w:ascii="方正仿宋_GBK" w:hAnsi="方正仿宋_GBK" w:eastAsia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eastAsia="方正仿宋_GBK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四是</w:t>
      </w:r>
      <w:bookmarkStart w:id="108" w:name="OLE_LINK95"/>
      <w:r>
        <w:rPr>
          <w:rFonts w:hint="eastAsia" w:ascii="Times New Roman" w:eastAsia="方正仿宋_GBK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进一步加强农村集体</w:t>
      </w:r>
      <w:r>
        <w:rPr>
          <w:rFonts w:hint="eastAsia" w:ascii="方正仿宋_GBK" w:hAnsi="方正仿宋_GBK" w:eastAsia="方正仿宋_GBK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eastAsia="方正仿宋_GBK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三资</w:t>
      </w:r>
      <w:r>
        <w:rPr>
          <w:rFonts w:hint="eastAsia" w:ascii="方正仿宋_GBK" w:hAnsi="方正仿宋_GBK" w:eastAsia="方正仿宋_GBK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eastAsia="方正仿宋_GBK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管理</w:t>
      </w:r>
      <w:bookmarkEnd w:id="108"/>
      <w:r>
        <w:rPr>
          <w:rFonts w:hint="eastAsia" w:ascii="Times New Roman" w:eastAsia="方正仿宋_GBK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  <w:bookmarkStart w:id="109" w:name="OLE_LINK96"/>
      <w:r>
        <w:rPr>
          <w:rFonts w:hint="eastAsia" w:ascii="方正仿宋_GBK" w:hAnsi="方正仿宋_GBK" w:eastAsia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加强业务培训，提升镇村财务管理业务水平</w:t>
      </w:r>
      <w:r>
        <w:rPr>
          <w:rFonts w:hint="eastAsia" w:ascii="方正仿宋_GBK" w:hAnsi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运用大数据管理系统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加强村集体资金监管</w:t>
      </w:r>
      <w:bookmarkEnd w:id="109"/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，</w:t>
      </w:r>
      <w:bookmarkStart w:id="110" w:name="OLE_LINK97"/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有效防范化解风险</w:t>
      </w:r>
      <w:bookmarkEnd w:id="110"/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/>
        <w:rPr>
          <w:u w:val="thick"/>
        </w:rPr>
      </w:pPr>
      <w:r>
        <w:rPr>
          <w:rFonts w:hint="eastAsia" w:ascii="方正楷体_GBK" w:eastAsia="方正楷体_GBK"/>
        </w:rPr>
        <w:t>（四）</w:t>
      </w:r>
      <w:bookmarkStart w:id="111" w:name="OLE_LINK105"/>
      <w:r>
        <w:rPr>
          <w:rFonts w:hint="eastAsia" w:ascii="方正楷体_GBK" w:eastAsia="方正楷体_GBK"/>
        </w:rPr>
        <w:t>持续深化农业综合行政执法改革</w:t>
      </w:r>
      <w:bookmarkEnd w:id="111"/>
      <w:r>
        <w:rPr>
          <w:rFonts w:hint="eastAsia" w:ascii="方正楷体_GBK" w:eastAsia="方正楷体_GBK"/>
        </w:rPr>
        <w:t>。</w:t>
      </w:r>
    </w:p>
    <w:p>
      <w:pPr>
        <w:ind w:firstLine="640"/>
      </w:pPr>
      <w:r>
        <w:rPr>
          <w:rFonts w:hint="eastAsia"/>
        </w:rPr>
        <w:t>工作目标：</w:t>
      </w:r>
      <w:bookmarkStart w:id="112" w:name="OLE_LINK111"/>
      <w:r>
        <w:rPr>
          <w:rFonts w:hint="eastAsia"/>
          <w:bCs/>
        </w:rPr>
        <w:t>到2024年，</w:t>
      </w:r>
      <w:bookmarkStart w:id="113" w:name="OLE_LINK110"/>
      <w:r>
        <w:rPr>
          <w:rFonts w:hint="eastAsia"/>
          <w:bCs/>
        </w:rPr>
        <w:t>实现</w:t>
      </w:r>
      <w:r>
        <w:rPr>
          <w:rFonts w:hint="eastAsia" w:ascii="方正仿宋_GBK" w:hAnsi="方正仿宋_GBK" w:cs="方正仿宋_GBK"/>
          <w:bCs/>
        </w:rPr>
        <w:t>案件</w:t>
      </w:r>
      <w:r>
        <w:rPr>
          <w:rFonts w:hint="eastAsia"/>
          <w:bCs/>
        </w:rPr>
        <w:t>查处率和准确率</w:t>
      </w:r>
      <w:r>
        <w:rPr>
          <w:rFonts w:hint="eastAsia" w:ascii="方正仿宋_GBK" w:hAnsi="方正仿宋_GBK"/>
          <w:bCs/>
        </w:rPr>
        <w:t>“</w:t>
      </w:r>
      <w:r>
        <w:rPr>
          <w:rFonts w:hint="eastAsia"/>
          <w:bCs/>
        </w:rPr>
        <w:t>双一百</w:t>
      </w:r>
      <w:r>
        <w:rPr>
          <w:rFonts w:hint="eastAsia" w:ascii="方正仿宋_GBK" w:hAnsi="方正仿宋_GBK"/>
          <w:bCs/>
        </w:rPr>
        <w:t>”</w:t>
      </w:r>
      <w:r>
        <w:rPr>
          <w:rFonts w:hint="eastAsia"/>
          <w:bCs/>
        </w:rPr>
        <w:t>，实现农业综合行政执法工作、农业综合行政执法队伍</w:t>
      </w:r>
      <w:r>
        <w:rPr>
          <w:rFonts w:hint="eastAsia" w:ascii="方正仿宋_GBK" w:hAnsi="方正仿宋_GBK"/>
          <w:bCs/>
        </w:rPr>
        <w:t>“</w:t>
      </w:r>
      <w:r>
        <w:rPr>
          <w:rFonts w:hint="eastAsia"/>
          <w:bCs/>
        </w:rPr>
        <w:t>两个健康</w:t>
      </w:r>
      <w:r>
        <w:rPr>
          <w:rFonts w:hint="eastAsia" w:ascii="方正仿宋_GBK" w:hAnsi="方正仿宋_GBK"/>
          <w:bCs/>
        </w:rPr>
        <w:t>”</w:t>
      </w:r>
      <w:r>
        <w:rPr>
          <w:rFonts w:hint="eastAsia"/>
          <w:bCs/>
        </w:rPr>
        <w:t>发展</w:t>
      </w:r>
      <w:bookmarkEnd w:id="112"/>
      <w:bookmarkEnd w:id="113"/>
      <w:r>
        <w:rPr>
          <w:rFonts w:hint="eastAsia"/>
          <w:bCs/>
        </w:rPr>
        <w:t>。</w:t>
      </w:r>
    </w:p>
    <w:p>
      <w:pPr>
        <w:pStyle w:val="2"/>
        <w:spacing w:line="578" w:lineRule="exact"/>
        <w:ind w:firstLine="660"/>
        <w:rPr>
          <w:rFonts w:ascii="Times New Roman" w:eastAsia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具体措施：</w:t>
      </w:r>
      <w:r>
        <w:rPr>
          <w:rFonts w:hint="eastAsia" w:ascii="Times New Roman" w:eastAsia="方正仿宋_GBK"/>
          <w:b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一是</w:t>
      </w:r>
      <w:bookmarkStart w:id="114" w:name="OLE_LINK106"/>
      <w:r>
        <w:rPr>
          <w:rFonts w:hint="eastAsia" w:ascii="Times New Roman" w:eastAsia="方正仿宋_GBK"/>
          <w:b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突出信息化建设，打造</w:t>
      </w:r>
      <w:r>
        <w:rPr>
          <w:rFonts w:hint="eastAsia" w:ascii="方正仿宋_GBK" w:hAnsi="方正仿宋_GBK" w:eastAsia="方正仿宋_GBK"/>
          <w:b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eastAsia="方正仿宋_GBK"/>
          <w:b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智慧执法</w:t>
      </w:r>
      <w:r>
        <w:rPr>
          <w:rFonts w:hint="eastAsia" w:ascii="方正仿宋_GBK" w:hAnsi="方正仿宋_GBK" w:eastAsia="方正仿宋_GBK"/>
          <w:b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”</w:t>
      </w:r>
      <w:bookmarkEnd w:id="114"/>
      <w:r>
        <w:rPr>
          <w:rFonts w:hint="eastAsia" w:ascii="Times New Roman" w:eastAsia="方正仿宋_GBK"/>
          <w:b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。</w:t>
      </w:r>
      <w:bookmarkStart w:id="115" w:name="OLE_LINK108"/>
      <w:r>
        <w:rPr>
          <w:rFonts w:hint="eastAsia" w:ascii="Times New Roman" w:eastAsia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充分利用执法指挥调度平台，使用信息化手段，实时调度、监控执法人员。推广</w:t>
      </w:r>
      <w:r>
        <w:rPr>
          <w:rFonts w:hint="eastAsia" w:ascii="方正仿宋_GBK" w:hAnsi="方正仿宋_GBK" w:eastAsia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eastAsia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慧执法</w:t>
      </w:r>
      <w:r>
        <w:rPr>
          <w:rFonts w:hint="eastAsia" w:ascii="方正仿宋_GBK" w:hAnsi="方正仿宋_GBK" w:eastAsia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eastAsia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现场检查系统和</w:t>
      </w:r>
      <w:r>
        <w:rPr>
          <w:rFonts w:hint="eastAsia" w:ascii="方正仿宋_GBK" w:hAnsi="方正仿宋_GBK" w:eastAsia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eastAsia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慧执法</w:t>
      </w:r>
      <w:r>
        <w:rPr>
          <w:rFonts w:hint="eastAsia" w:ascii="方正仿宋_GBK" w:hAnsi="方正仿宋_GBK" w:eastAsia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eastAsia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执法办案系统，做到公开执法、严格执法、文明执法、留痕执法、线上办案、规范办案</w:t>
      </w:r>
      <w:bookmarkEnd w:id="115"/>
      <w:r>
        <w:rPr>
          <w:rFonts w:hint="eastAsia" w:ascii="Times New Roman" w:eastAsia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eastAsia="方正仿宋_GBK"/>
          <w:b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二是</w:t>
      </w:r>
      <w:bookmarkStart w:id="116" w:name="OLE_LINK107"/>
      <w:r>
        <w:rPr>
          <w:rFonts w:hint="eastAsia" w:ascii="Times New Roman" w:eastAsia="方正仿宋_GBK"/>
          <w:b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突出办案能力建设，打造</w:t>
      </w:r>
      <w:bookmarkStart w:id="117" w:name="OLE_LINK151"/>
      <w:r>
        <w:rPr>
          <w:rFonts w:hint="eastAsia" w:ascii="方正仿宋_GBK" w:hAnsi="方正仿宋_GBK" w:eastAsia="方正仿宋_GBK"/>
          <w:b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“</w:t>
      </w:r>
      <w:bookmarkEnd w:id="117"/>
      <w:r>
        <w:rPr>
          <w:rFonts w:hint="eastAsia" w:ascii="Times New Roman" w:eastAsia="方正仿宋_GBK"/>
          <w:b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专业队伍</w:t>
      </w:r>
      <w:r>
        <w:rPr>
          <w:rFonts w:hint="eastAsia" w:ascii="方正仿宋_GBK" w:hAnsi="方正仿宋_GBK" w:eastAsia="方正仿宋_GBK"/>
          <w:b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”</w:t>
      </w:r>
      <w:bookmarkEnd w:id="116"/>
      <w:r>
        <w:rPr>
          <w:rFonts w:hint="eastAsia" w:ascii="Times New Roman" w:eastAsia="方正仿宋_GBK"/>
          <w:b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。</w:t>
      </w:r>
      <w:bookmarkStart w:id="118" w:name="OLE_LINK109"/>
      <w:r>
        <w:rPr>
          <w:rFonts w:ascii="Times New Roman" w:eastAsia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全面落实行政执法</w:t>
      </w:r>
      <w:r>
        <w:rPr>
          <w:rFonts w:hint="eastAsia" w:ascii="Times New Roman" w:eastAsia="方正仿宋_GBK"/>
          <w:color w:val="000000" w:themeColor="text1"/>
          <w:sz w:val="33"/>
          <w:szCs w:val="33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eastAsia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三项制度</w:t>
      </w:r>
      <w:r>
        <w:rPr>
          <w:rFonts w:hint="eastAsia" w:ascii="Times New Roman" w:eastAsia="方正仿宋_GBK"/>
          <w:color w:val="000000" w:themeColor="text1"/>
          <w:sz w:val="33"/>
          <w:szCs w:val="33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eastAsia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eastAsia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建立健全涉企行政执法检查制度、检查审批登记制度</w:t>
      </w:r>
      <w:r>
        <w:rPr>
          <w:rFonts w:hint="eastAsia" w:ascii="Times New Roman" w:eastAsia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，制定健全以</w:t>
      </w:r>
      <w:r>
        <w:rPr>
          <w:rFonts w:hint="eastAsia" w:ascii="方正仿宋_GBK" w:hAnsi="方正仿宋_GBK" w:eastAsia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eastAsia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双随机、一公开</w:t>
      </w:r>
      <w:r>
        <w:rPr>
          <w:rFonts w:hint="eastAsia" w:ascii="方正仿宋_GBK" w:hAnsi="方正仿宋_GBK" w:eastAsia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eastAsia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监管为原则、以重点监管为补充、以信用监管为基础的</w:t>
      </w:r>
      <w:r>
        <w:rPr>
          <w:rFonts w:ascii="Times New Roman" w:eastAsia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行政执法监督机制</w:t>
      </w:r>
      <w:r>
        <w:rPr>
          <w:rFonts w:hint="eastAsia" w:ascii="Times New Roman" w:eastAsia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eastAsia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推进行政执法与刑事司法衔接</w:t>
      </w:r>
      <w:r>
        <w:rPr>
          <w:rFonts w:hint="eastAsia" w:ascii="Times New Roman" w:eastAsia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。开展</w:t>
      </w:r>
      <w:r>
        <w:rPr>
          <w:rFonts w:hint="eastAsia" w:ascii="方正仿宋_GBK" w:hAnsi="方正仿宋_GBK" w:eastAsia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eastAsia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法治大讲坛</w:t>
      </w:r>
      <w:r>
        <w:rPr>
          <w:rFonts w:hint="eastAsia" w:ascii="方正仿宋_GBK" w:hAnsi="方正仿宋_GBK" w:eastAsia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eastAsia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，领导班子带头讲、中层干部主要讲，每月开展两次集中学习活动，提高案件办理能力和案卷制作水平，培养</w:t>
      </w:r>
      <w:r>
        <w:rPr>
          <w:rFonts w:hint="eastAsia" w:ascii="方正仿宋_GBK" w:hAnsi="方正仿宋_GBK" w:eastAsia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eastAsia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一专多能、通</w:t>
      </w:r>
      <w:r>
        <w:rPr>
          <w:rFonts w:ascii="Times New Roman" w:eastAsia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专结合</w:t>
      </w:r>
      <w:r>
        <w:rPr>
          <w:rFonts w:ascii="方正仿宋_GBK" w:hAnsi="方正仿宋_GBK" w:eastAsia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eastAsia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的综合执法人才</w:t>
      </w:r>
      <w:r>
        <w:rPr>
          <w:rFonts w:hint="eastAsia" w:ascii="Times New Roman" w:eastAsia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。加大办案力度，探索建立执法办案成效指标评价体系，公布有影响力、有震慑力的典型案例。成立案审委员会，开展常态化案件评查，分年度评选优秀案卷和文书</w:t>
      </w:r>
      <w:bookmarkEnd w:id="118"/>
      <w:r>
        <w:rPr>
          <w:rFonts w:hint="eastAsia" w:ascii="Times New Roman" w:eastAsia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。</w:t>
      </w:r>
    </w:p>
    <w:p>
      <w:pPr>
        <w:ind w:firstLine="640"/>
        <w:rPr>
          <w:rFonts w:ascii="方正黑体_GBK" w:eastAsia="方正黑体_GBK"/>
        </w:rPr>
      </w:pPr>
      <w:bookmarkStart w:id="119" w:name="OLE_LINK149"/>
      <w:r>
        <w:rPr>
          <w:rFonts w:hint="eastAsia" w:ascii="方正黑体_GBK" w:eastAsia="方正黑体_GBK"/>
        </w:rPr>
        <w:t>四、</w:t>
      </w:r>
      <w:bookmarkStart w:id="120" w:name="OLE_LINK172"/>
      <w:r>
        <w:rPr>
          <w:rFonts w:hint="eastAsia" w:ascii="方正黑体_GBK" w:eastAsia="方正黑体_GBK"/>
        </w:rPr>
        <w:t>围绕</w:t>
      </w:r>
      <w:r>
        <w:rPr>
          <w:rFonts w:hint="eastAsia" w:ascii="方正仿宋_GBK" w:hAnsi="方正仿宋_GBK"/>
        </w:rPr>
        <w:t>“</w:t>
      </w:r>
      <w:r>
        <w:rPr>
          <w:rFonts w:hint="eastAsia" w:ascii="方正黑体_GBK" w:eastAsia="方正黑体_GBK"/>
        </w:rPr>
        <w:t>统筹性工作</w:t>
      </w:r>
      <w:r>
        <w:rPr>
          <w:rFonts w:hint="eastAsia" w:ascii="方正仿宋_GBK" w:hAnsi="方正仿宋_GBK"/>
        </w:rPr>
        <w:t>”</w:t>
      </w:r>
      <w:r>
        <w:rPr>
          <w:rFonts w:hint="eastAsia" w:ascii="方正黑体_GBK" w:eastAsia="方正黑体_GBK"/>
        </w:rPr>
        <w:t>，实施</w:t>
      </w:r>
      <w:bookmarkStart w:id="121" w:name="OLE_LINK165"/>
      <w:r>
        <w:rPr>
          <w:rFonts w:hint="eastAsia" w:ascii="方正黑体_GBK" w:eastAsia="方正黑体_GBK"/>
        </w:rPr>
        <w:t>美丽文明乡村建设行动</w:t>
      </w:r>
      <w:bookmarkEnd w:id="120"/>
      <w:bookmarkEnd w:id="121"/>
    </w:p>
    <w:bookmarkEnd w:id="119"/>
    <w:p>
      <w:pPr>
        <w:ind w:firstLine="640"/>
        <w:rPr>
          <w:u w:val="thick"/>
        </w:rPr>
      </w:pPr>
      <w:r>
        <w:rPr>
          <w:rFonts w:hint="eastAsia" w:ascii="方正楷体_GBK" w:eastAsia="方正楷体_GBK"/>
        </w:rPr>
        <w:t>（一）</w:t>
      </w:r>
      <w:bookmarkStart w:id="122" w:name="OLE_LINK113"/>
      <w:r>
        <w:rPr>
          <w:rFonts w:hint="eastAsia" w:ascii="方正楷体_GBK" w:eastAsia="方正楷体_GBK"/>
        </w:rPr>
        <w:t>统筹实施农村人居环境整治五年提升行动</w:t>
      </w:r>
      <w:bookmarkEnd w:id="122"/>
      <w:r>
        <w:rPr>
          <w:rFonts w:hint="eastAsia" w:ascii="方正楷体_GBK" w:eastAsia="方正楷体_GBK"/>
        </w:rPr>
        <w:t>。</w:t>
      </w:r>
    </w:p>
    <w:p>
      <w:pPr>
        <w:ind w:firstLine="640"/>
        <w:rPr>
          <w:rFonts w:ascii="方正仿宋_GBK" w:hAnsi="Arial" w:cs="Arial"/>
          <w:color w:val="000000"/>
        </w:rPr>
      </w:pPr>
      <w:r>
        <w:rPr>
          <w:rFonts w:hint="eastAsia" w:ascii="方正仿宋_GBK" w:hAnsi="Arial" w:cs="Arial"/>
          <w:color w:val="000000"/>
        </w:rPr>
        <w:t>工作目标：</w:t>
      </w:r>
      <w:bookmarkStart w:id="123" w:name="OLE_LINK126"/>
      <w:r>
        <w:rPr>
          <w:rFonts w:hint="eastAsia" w:ascii="方正仿宋_GBK" w:hAnsi="Arial" w:cs="Arial"/>
          <w:color w:val="000000"/>
        </w:rPr>
        <w:t>到</w:t>
      </w:r>
      <w:r>
        <w:rPr>
          <w:rFonts w:hint="eastAsia" w:cs="Arial"/>
          <w:color w:val="000000"/>
        </w:rPr>
        <w:t>202</w:t>
      </w:r>
      <w:r>
        <w:rPr>
          <w:rFonts w:cs="Arial"/>
          <w:color w:val="000000"/>
        </w:rPr>
        <w:t>4</w:t>
      </w:r>
      <w:r>
        <w:rPr>
          <w:rFonts w:hint="eastAsia" w:ascii="方正仿宋_GBK" w:hAnsi="Arial" w:cs="Arial"/>
          <w:color w:val="000000"/>
        </w:rPr>
        <w:t>年，</w:t>
      </w:r>
      <w:r>
        <w:rPr>
          <w:rFonts w:cs="Times New Roman"/>
          <w:szCs w:val="20"/>
        </w:rPr>
        <w:t>农村卫生厕所更加普及，农村生活污水</w:t>
      </w:r>
      <w:r>
        <w:rPr>
          <w:rFonts w:hint="eastAsia" w:cs="Times New Roman"/>
          <w:szCs w:val="20"/>
        </w:rPr>
        <w:t>实现分类整治</w:t>
      </w:r>
      <w:r>
        <w:rPr>
          <w:rFonts w:cs="Times New Roman"/>
          <w:szCs w:val="20"/>
        </w:rPr>
        <w:t>，农村生活垃圾无害化处理水平明显提升，农村基础设施布局更加优化，村容村貌进一步提升</w:t>
      </w:r>
      <w:r>
        <w:rPr>
          <w:rFonts w:hint="eastAsia" w:cs="Times New Roman"/>
          <w:szCs w:val="20"/>
        </w:rPr>
        <w:t>，</w:t>
      </w:r>
      <w:r>
        <w:rPr>
          <w:rFonts w:cs="Times New Roman"/>
          <w:szCs w:val="20"/>
        </w:rPr>
        <w:t>长效管护机制进一步完善，</w:t>
      </w:r>
      <w:r>
        <w:rPr>
          <w:rFonts w:cs="Times New Roman"/>
        </w:rPr>
        <w:t>彻底解决农村</w:t>
      </w:r>
      <w:r>
        <w:rPr>
          <w:rFonts w:ascii="方正仿宋_GBK" w:hAnsi="方正仿宋_GBK" w:cs="Times New Roman"/>
        </w:rPr>
        <w:t>“</w:t>
      </w:r>
      <w:r>
        <w:rPr>
          <w:rFonts w:cs="Times New Roman"/>
        </w:rPr>
        <w:t>脏乱差</w:t>
      </w:r>
      <w:r>
        <w:rPr>
          <w:rFonts w:ascii="方正仿宋_GBK" w:hAnsi="方正仿宋_GBK" w:cs="Times New Roman"/>
        </w:rPr>
        <w:t>”</w:t>
      </w:r>
      <w:r>
        <w:rPr>
          <w:rFonts w:cs="Times New Roman"/>
        </w:rPr>
        <w:t>易反弹的问题，进一步营造干净、整洁、有序的美丽宜居乡村环境</w:t>
      </w:r>
      <w:bookmarkEnd w:id="123"/>
      <w:r>
        <w:rPr>
          <w:rFonts w:cs="Times New Roman"/>
        </w:rPr>
        <w:t>。</w:t>
      </w:r>
    </w:p>
    <w:p>
      <w:pPr>
        <w:ind w:firstLine="640"/>
        <w:rPr>
          <w:rFonts w:ascii="方正仿宋_GBK" w:hAnsi="方正仿宋_GBK" w:cs="方正仿宋_GBK"/>
          <w:bCs/>
        </w:rPr>
      </w:pPr>
      <w:r>
        <w:rPr>
          <w:rFonts w:hint="eastAsia" w:ascii="方正仿宋_GBK" w:hAnsi="方正仿宋_GBK" w:cs="方正仿宋_GBK"/>
          <w:color w:val="000000"/>
        </w:rPr>
        <w:t>具体措施：</w:t>
      </w:r>
      <w:r>
        <w:rPr>
          <w:rFonts w:hint="eastAsia" w:cs="Times New Roman"/>
          <w:b/>
          <w:bCs/>
          <w:szCs w:val="20"/>
        </w:rPr>
        <w:t>一是</w:t>
      </w:r>
      <w:bookmarkStart w:id="124" w:name="OLE_LINK114"/>
      <w:r>
        <w:rPr>
          <w:rFonts w:hint="eastAsia" w:cs="Times New Roman"/>
          <w:b/>
          <w:bCs/>
          <w:szCs w:val="20"/>
        </w:rPr>
        <w:t>切实履行牵头抓总职责</w:t>
      </w:r>
      <w:bookmarkEnd w:id="124"/>
      <w:r>
        <w:rPr>
          <w:rFonts w:hint="eastAsia" w:cs="Times New Roman"/>
          <w:b/>
          <w:bCs/>
          <w:szCs w:val="20"/>
        </w:rPr>
        <w:t>。</w:t>
      </w:r>
      <w:bookmarkStart w:id="125" w:name="OLE_LINK125"/>
      <w:r>
        <w:rPr>
          <w:rFonts w:hint="eastAsia" w:cs="Times New Roman"/>
          <w:szCs w:val="20"/>
        </w:rPr>
        <w:t>对照农村人居环境整治五年提升行动计划，明确</w:t>
      </w:r>
      <w:r>
        <w:rPr>
          <w:rFonts w:hint="eastAsia"/>
        </w:rPr>
        <w:t>年度目标任务，制定工作推进</w:t>
      </w:r>
      <w:r>
        <w:t>计划，</w:t>
      </w:r>
      <w:r>
        <w:rPr>
          <w:rFonts w:hint="eastAsia"/>
        </w:rPr>
        <w:t>定期召开联席会，统筹协调全面</w:t>
      </w:r>
      <w:r>
        <w:t>推进</w:t>
      </w:r>
      <w:r>
        <w:rPr>
          <w:rFonts w:hint="eastAsia"/>
        </w:rPr>
        <w:t>。加强农村人居环境整治宣传动员，扎实开展村庄清洁行动春夏秋冬</w:t>
      </w:r>
      <w:r>
        <w:rPr>
          <w:rFonts w:hint="eastAsia" w:ascii="方正仿宋_GBK" w:hAnsi="方正仿宋_GBK"/>
        </w:rPr>
        <w:t>“</w:t>
      </w:r>
      <w:r>
        <w:rPr>
          <w:rFonts w:hint="eastAsia"/>
        </w:rPr>
        <w:t>四季战役</w:t>
      </w:r>
      <w:r>
        <w:rPr>
          <w:rFonts w:hint="eastAsia" w:ascii="方正仿宋_GBK" w:hAnsi="方正仿宋_GBK"/>
        </w:rPr>
        <w:t>”</w:t>
      </w:r>
      <w:bookmarkEnd w:id="125"/>
      <w:r>
        <w:rPr>
          <w:rFonts w:hint="eastAsia"/>
        </w:rPr>
        <w:t>。</w:t>
      </w:r>
      <w:r>
        <w:rPr>
          <w:rFonts w:hint="eastAsia" w:cs="Times New Roman"/>
          <w:b/>
          <w:bCs/>
          <w:szCs w:val="20"/>
        </w:rPr>
        <w:t>二是</w:t>
      </w:r>
      <w:bookmarkStart w:id="126" w:name="OLE_LINK115"/>
      <w:r>
        <w:rPr>
          <w:rFonts w:hint="eastAsia" w:cs="Times New Roman"/>
          <w:b/>
          <w:bCs/>
          <w:szCs w:val="20"/>
        </w:rPr>
        <w:t>推进</w:t>
      </w:r>
      <w:r>
        <w:rPr>
          <w:rFonts w:hint="eastAsia"/>
          <w:b/>
          <w:bCs/>
        </w:rPr>
        <w:t>农村厕所革命</w:t>
      </w:r>
      <w:bookmarkEnd w:id="126"/>
      <w:r>
        <w:rPr>
          <w:rFonts w:hint="eastAsia"/>
          <w:b/>
          <w:bCs/>
        </w:rPr>
        <w:t>。</w:t>
      </w:r>
      <w:bookmarkStart w:id="127" w:name="OLE_LINK123"/>
      <w:r>
        <w:rPr>
          <w:rFonts w:hint="eastAsia"/>
        </w:rPr>
        <w:t>严格三格式无害化卫生标准，落实</w:t>
      </w:r>
      <w:r>
        <w:rPr>
          <w:rFonts w:hint="eastAsia" w:ascii="方正仿宋_GBK" w:hAnsi="方正仿宋_GBK"/>
        </w:rPr>
        <w:t>“</w:t>
      </w:r>
      <w:r>
        <w:rPr>
          <w:rFonts w:hint="eastAsia"/>
        </w:rPr>
        <w:t>首村首厕</w:t>
      </w:r>
      <w:r>
        <w:rPr>
          <w:rFonts w:hint="eastAsia" w:ascii="方正仿宋_GBK" w:hAnsi="方正仿宋_GBK"/>
        </w:rPr>
        <w:t>”</w:t>
      </w:r>
      <w:r>
        <w:rPr>
          <w:rFonts w:hint="eastAsia"/>
        </w:rPr>
        <w:t>过关制</w:t>
      </w:r>
      <w:bookmarkEnd w:id="127"/>
      <w:r>
        <w:rPr>
          <w:rFonts w:hint="eastAsia"/>
        </w:rPr>
        <w:t>，</w:t>
      </w:r>
      <w:bookmarkStart w:id="128" w:name="OLE_LINK124"/>
      <w:r>
        <w:rPr>
          <w:rFonts w:hint="eastAsia"/>
        </w:rPr>
        <w:t>每年向市级争取3000户改厕任务</w:t>
      </w:r>
      <w:bookmarkEnd w:id="128"/>
      <w:r>
        <w:rPr>
          <w:rFonts w:hint="eastAsia"/>
        </w:rPr>
        <w:t>。</w:t>
      </w:r>
      <w:r>
        <w:rPr>
          <w:rFonts w:hint="eastAsia"/>
          <w:b/>
          <w:bCs/>
        </w:rPr>
        <w:t>三是</w:t>
      </w:r>
      <w:bookmarkStart w:id="129" w:name="OLE_LINK116"/>
      <w:r>
        <w:rPr>
          <w:rFonts w:cs="Times New Roman"/>
          <w:b/>
          <w:bCs/>
        </w:rPr>
        <w:t>清理</w:t>
      </w:r>
      <w:r>
        <w:rPr>
          <w:rFonts w:cs="Times New Roman"/>
          <w:b/>
          <w:bCs/>
          <w:kern w:val="0"/>
          <w:lang w:bidi="ar"/>
        </w:rPr>
        <w:t>整治无人居住废旧房</w:t>
      </w:r>
      <w:bookmarkEnd w:id="129"/>
      <w:r>
        <w:rPr>
          <w:rFonts w:cs="Times New Roman"/>
          <w:b/>
          <w:bCs/>
          <w:kern w:val="0"/>
          <w:lang w:bidi="ar"/>
        </w:rPr>
        <w:t>。</w:t>
      </w:r>
      <w:bookmarkStart w:id="130" w:name="OLE_LINK121"/>
      <w:r>
        <w:rPr>
          <w:rFonts w:hint="eastAsia" w:cs="Times New Roman"/>
          <w:kern w:val="0"/>
          <w:lang w:bidi="ar"/>
        </w:rPr>
        <w:t>开展无人居住废旧房摸排及认定，归整为主、</w:t>
      </w:r>
      <w:r>
        <w:rPr>
          <w:rFonts w:cs="Times New Roman"/>
          <w:kern w:val="0"/>
          <w:lang w:bidi="ar"/>
        </w:rPr>
        <w:t>拆除为辅</w:t>
      </w:r>
      <w:r>
        <w:rPr>
          <w:rFonts w:hint="eastAsia" w:cs="Times New Roman"/>
          <w:kern w:val="0"/>
          <w:lang w:bidi="ar"/>
        </w:rPr>
        <w:t>，实现分类有效整治</w:t>
      </w:r>
      <w:bookmarkEnd w:id="130"/>
      <w:r>
        <w:rPr>
          <w:rFonts w:cs="Times New Roman"/>
          <w:kern w:val="0"/>
          <w:lang w:bidi="ar"/>
        </w:rPr>
        <w:t>。</w:t>
      </w:r>
      <w:r>
        <w:rPr>
          <w:rFonts w:hint="eastAsia" w:cs="Times New Roman"/>
          <w:b/>
          <w:bCs/>
          <w:kern w:val="0"/>
          <w:lang w:bidi="ar"/>
        </w:rPr>
        <w:t>四是</w:t>
      </w:r>
      <w:bookmarkStart w:id="131" w:name="OLE_LINK118"/>
      <w:r>
        <w:rPr>
          <w:rFonts w:cs="Times New Roman"/>
          <w:b/>
          <w:bCs/>
          <w:kern w:val="0"/>
          <w:lang w:bidi="ar"/>
        </w:rPr>
        <w:t>开展</w:t>
      </w:r>
      <w:r>
        <w:rPr>
          <w:rFonts w:ascii="方正仿宋_GBK" w:hAnsi="方正仿宋_GBK" w:cs="Times New Roman"/>
          <w:b/>
          <w:bCs/>
          <w:kern w:val="0"/>
          <w:lang w:bidi="ar"/>
        </w:rPr>
        <w:t>“</w:t>
      </w:r>
      <w:r>
        <w:rPr>
          <w:rFonts w:cs="Times New Roman"/>
          <w:b/>
          <w:bCs/>
          <w:kern w:val="0"/>
          <w:lang w:bidi="ar"/>
        </w:rPr>
        <w:t>千村宜居</w:t>
      </w:r>
      <w:r>
        <w:rPr>
          <w:rFonts w:ascii="方正仿宋_GBK" w:hAnsi="方正仿宋_GBK" w:cs="Times New Roman"/>
          <w:b/>
          <w:bCs/>
          <w:kern w:val="0"/>
          <w:lang w:bidi="ar"/>
        </w:rPr>
        <w:t>”</w:t>
      </w:r>
      <w:r>
        <w:rPr>
          <w:rFonts w:cs="Times New Roman"/>
          <w:b/>
          <w:bCs/>
          <w:kern w:val="0"/>
          <w:lang w:bidi="ar"/>
        </w:rPr>
        <w:t>创建活动</w:t>
      </w:r>
      <w:bookmarkEnd w:id="131"/>
      <w:r>
        <w:rPr>
          <w:rFonts w:hint="eastAsia" w:cs="Times New Roman"/>
          <w:b/>
          <w:bCs/>
          <w:kern w:val="0"/>
          <w:lang w:bidi="ar"/>
        </w:rPr>
        <w:t>。</w:t>
      </w:r>
      <w:bookmarkStart w:id="132" w:name="OLE_LINK119"/>
      <w:r>
        <w:rPr>
          <w:rFonts w:cs="Times New Roman"/>
          <w:szCs w:val="20"/>
        </w:rPr>
        <w:t>以打造</w:t>
      </w:r>
      <w:r>
        <w:rPr>
          <w:rFonts w:ascii="方正仿宋_GBK" w:hAnsi="方正仿宋_GBK" w:cs="Times New Roman"/>
          <w:szCs w:val="20"/>
        </w:rPr>
        <w:t>“</w:t>
      </w:r>
      <w:r>
        <w:rPr>
          <w:rFonts w:cs="Times New Roman"/>
          <w:szCs w:val="20"/>
        </w:rPr>
        <w:t>小组团、微田园、生态化、有特色</w:t>
      </w:r>
      <w:r>
        <w:rPr>
          <w:rFonts w:ascii="方正仿宋_GBK" w:hAnsi="方正仿宋_GBK" w:cs="Times New Roman"/>
          <w:szCs w:val="20"/>
        </w:rPr>
        <w:t>”</w:t>
      </w:r>
      <w:r>
        <w:rPr>
          <w:rFonts w:cs="Times New Roman"/>
          <w:szCs w:val="20"/>
        </w:rPr>
        <w:t>的人居环境为目标，结合全域规划和乡村布局规划，统筹整合相关资源要素</w:t>
      </w:r>
      <w:bookmarkEnd w:id="132"/>
      <w:r>
        <w:rPr>
          <w:rFonts w:cs="Times New Roman"/>
          <w:szCs w:val="20"/>
        </w:rPr>
        <w:t>，</w:t>
      </w:r>
      <w:bookmarkStart w:id="133" w:name="OLE_LINK120"/>
      <w:r>
        <w:rPr>
          <w:rFonts w:cs="Times New Roman"/>
          <w:szCs w:val="20"/>
        </w:rPr>
        <w:t>巩固已建成的30个美丽宜居乡村，新建50个美丽宜居乡村</w:t>
      </w:r>
      <w:bookmarkEnd w:id="133"/>
      <w:r>
        <w:rPr>
          <w:rFonts w:cs="Times New Roman"/>
          <w:szCs w:val="20"/>
        </w:rPr>
        <w:t>。</w:t>
      </w:r>
    </w:p>
    <w:p>
      <w:pPr>
        <w:ind w:firstLine="640"/>
        <w:rPr>
          <w:u w:val="thick"/>
        </w:rPr>
      </w:pPr>
      <w:r>
        <w:rPr>
          <w:rFonts w:hint="eastAsia" w:ascii="方正楷体_GBK" w:eastAsia="方正楷体_GBK"/>
        </w:rPr>
        <w:t>（二）</w:t>
      </w:r>
      <w:bookmarkStart w:id="134" w:name="OLE_LINK127"/>
      <w:r>
        <w:rPr>
          <w:rFonts w:hint="eastAsia" w:ascii="方正楷体_GBK" w:eastAsia="方正楷体_GBK"/>
        </w:rPr>
        <w:t>统筹开展通道环境综合整治</w:t>
      </w:r>
      <w:bookmarkEnd w:id="134"/>
      <w:r>
        <w:rPr>
          <w:rFonts w:hint="eastAsia" w:ascii="方正楷体_GBK" w:eastAsia="方正楷体_GBK"/>
        </w:rPr>
        <w:t>。</w:t>
      </w:r>
    </w:p>
    <w:p>
      <w:pPr>
        <w:ind w:firstLine="640"/>
        <w:rPr>
          <w:rFonts w:ascii="方正仿宋_GBK" w:hAnsi="Arial" w:cs="Arial"/>
          <w:color w:val="000000"/>
        </w:rPr>
      </w:pPr>
      <w:r>
        <w:rPr>
          <w:rFonts w:hint="eastAsia" w:ascii="方正仿宋_GBK" w:hAnsi="Arial" w:cs="Arial"/>
          <w:color w:val="000000"/>
        </w:rPr>
        <w:t>工作目标：</w:t>
      </w:r>
      <w:bookmarkStart w:id="135" w:name="OLE_LINK132"/>
      <w:r>
        <w:rPr>
          <w:rFonts w:hint="eastAsia" w:ascii="方正仿宋_GBK" w:hAnsi="Arial" w:cs="Arial"/>
          <w:color w:val="000000"/>
        </w:rPr>
        <w:t>到</w:t>
      </w:r>
      <w:r>
        <w:rPr>
          <w:rFonts w:hint="eastAsia" w:cs="Arial"/>
          <w:color w:val="000000"/>
        </w:rPr>
        <w:t>2</w:t>
      </w:r>
      <w:r>
        <w:rPr>
          <w:rFonts w:cs="Arial"/>
          <w:color w:val="000000"/>
        </w:rPr>
        <w:t>024</w:t>
      </w:r>
      <w:r>
        <w:rPr>
          <w:rFonts w:hint="eastAsia" w:ascii="方正仿宋_GBK" w:hAnsi="Arial" w:cs="Arial"/>
          <w:color w:val="000000"/>
        </w:rPr>
        <w:t>年，</w:t>
      </w:r>
      <w:r>
        <w:rPr>
          <w:rFonts w:hint="eastAsia" w:cs="Times New Roman"/>
        </w:rPr>
        <w:t>全县高铁、高速、国省县乡道沿线环境均实现干净、整洁、有序目标任务</w:t>
      </w:r>
      <w:bookmarkEnd w:id="135"/>
      <w:r>
        <w:rPr>
          <w:rFonts w:hint="eastAsia" w:cs="Times New Roman"/>
        </w:rPr>
        <w:t>。</w:t>
      </w:r>
    </w:p>
    <w:p>
      <w:pPr>
        <w:ind w:firstLine="640"/>
        <w:rPr>
          <w:rFonts w:ascii="方正仿宋_GBK" w:hAnsi="Arial" w:cs="Arial"/>
          <w:color w:val="000000"/>
        </w:rPr>
      </w:pPr>
      <w:r>
        <w:rPr>
          <w:rFonts w:hint="eastAsia" w:ascii="方正仿宋_GBK" w:hAnsi="Arial" w:cs="Arial"/>
          <w:color w:val="000000"/>
        </w:rPr>
        <w:t>具体措施：</w:t>
      </w:r>
      <w:r>
        <w:rPr>
          <w:rFonts w:hint="eastAsia"/>
          <w:b/>
          <w:bCs/>
        </w:rPr>
        <w:t>一是</w:t>
      </w:r>
      <w:bookmarkStart w:id="136" w:name="OLE_LINK128"/>
      <w:r>
        <w:rPr>
          <w:rFonts w:hint="eastAsia"/>
          <w:b/>
          <w:bCs/>
        </w:rPr>
        <w:t>开展道路沿线综合整治</w:t>
      </w:r>
      <w:bookmarkEnd w:id="136"/>
      <w:r>
        <w:rPr>
          <w:rFonts w:hint="eastAsia"/>
          <w:b/>
          <w:bCs/>
        </w:rPr>
        <w:t>。</w:t>
      </w:r>
      <w:bookmarkStart w:id="137" w:name="OLE_LINK129"/>
      <w:r>
        <w:rPr>
          <w:rFonts w:hint="eastAsia"/>
        </w:rPr>
        <w:t>结合村庄清洁行动，以</w:t>
      </w:r>
      <w:r>
        <w:rPr>
          <w:rFonts w:hint="eastAsia" w:ascii="方正仿宋_GBK" w:hAnsi="方正仿宋_GBK"/>
        </w:rPr>
        <w:t>“</w:t>
      </w:r>
      <w:r>
        <w:rPr>
          <w:rFonts w:hint="eastAsia"/>
        </w:rPr>
        <w:t>五清理一活动</w:t>
      </w:r>
      <w:r>
        <w:rPr>
          <w:rFonts w:hint="eastAsia" w:ascii="方正仿宋_GBK" w:hAnsi="方正仿宋_GBK"/>
        </w:rPr>
        <w:t>”</w:t>
      </w:r>
      <w:r>
        <w:rPr>
          <w:rFonts w:hint="eastAsia"/>
        </w:rPr>
        <w:t>为基础，以乡镇（街道）为单位，按道路等级排序组织开展通道环境综合整治，统筹协调各牵头部门，推进道路沿线危房旧房、生活垃圾、生活污水等的治理</w:t>
      </w:r>
      <w:bookmarkEnd w:id="137"/>
      <w:r>
        <w:rPr>
          <w:rFonts w:hint="eastAsia"/>
        </w:rPr>
        <w:t>。</w:t>
      </w:r>
      <w:r>
        <w:rPr>
          <w:rFonts w:hint="eastAsia"/>
          <w:b/>
          <w:bCs/>
        </w:rPr>
        <w:t>二是</w:t>
      </w:r>
      <w:bookmarkStart w:id="138" w:name="OLE_LINK131"/>
      <w:r>
        <w:rPr>
          <w:rFonts w:hint="eastAsia"/>
          <w:b/>
          <w:bCs/>
        </w:rPr>
        <w:t>开展沿线环境美化</w:t>
      </w:r>
      <w:bookmarkEnd w:id="138"/>
      <w:r>
        <w:rPr>
          <w:rFonts w:hint="eastAsia"/>
          <w:b/>
          <w:bCs/>
        </w:rPr>
        <w:t>。</w:t>
      </w:r>
      <w:bookmarkStart w:id="139" w:name="OLE_LINK130"/>
      <w:r>
        <w:rPr>
          <w:rFonts w:hint="eastAsia" w:ascii="方正仿宋_GBK" w:hAnsi="方正仿宋_GBK" w:cs="方正仿宋_GBK"/>
        </w:rPr>
        <w:t>对通道沿线临路农户，通过微整形，打造庭院小花园进行美化；针对农户两侧空地和裸露荒地，因地制宜发展果园菜园，建设堡坎围栏，对现有菜园地进行规范种植；针对可视范围内的经果林通过补植的手段接断带，针对耕地要确保粮食种足种满不撂荒</w:t>
      </w:r>
      <w:bookmarkEnd w:id="139"/>
      <w:r>
        <w:rPr>
          <w:rFonts w:hint="eastAsia" w:ascii="方正仿宋_GBK" w:hAnsi="方正仿宋_GBK" w:cs="方正仿宋_GBK"/>
        </w:rPr>
        <w:t>。</w:t>
      </w:r>
    </w:p>
    <w:p>
      <w:pPr>
        <w:ind w:firstLine="640"/>
        <w:rPr>
          <w:u w:val="thick"/>
        </w:rPr>
      </w:pPr>
      <w:r>
        <w:rPr>
          <w:rFonts w:hint="eastAsia" w:ascii="方正楷体_GBK" w:eastAsia="方正楷体_GBK"/>
        </w:rPr>
        <w:t>（三）</w:t>
      </w:r>
      <w:bookmarkStart w:id="140" w:name="OLE_LINK133"/>
      <w:r>
        <w:rPr>
          <w:rFonts w:hint="eastAsia" w:ascii="方正楷体_GBK" w:eastAsia="方正楷体_GBK"/>
        </w:rPr>
        <w:t>全面推行乡风文明建设积分制</w:t>
      </w:r>
      <w:bookmarkEnd w:id="140"/>
      <w:r>
        <w:rPr>
          <w:rFonts w:hint="eastAsia" w:ascii="方正楷体_GBK" w:eastAsia="方正楷体_GBK"/>
        </w:rPr>
        <w:t>。</w:t>
      </w:r>
    </w:p>
    <w:p>
      <w:pPr>
        <w:ind w:firstLine="640"/>
      </w:pPr>
      <w:r>
        <w:rPr>
          <w:rFonts w:hint="eastAsia"/>
        </w:rPr>
        <w:t>工作目标：</w:t>
      </w:r>
      <w:bookmarkStart w:id="141" w:name="OLE_LINK141"/>
      <w:bookmarkStart w:id="142" w:name="OLE_LINK23"/>
      <w:r>
        <w:rPr>
          <w:rFonts w:hint="eastAsia" w:cs="Times New Roman"/>
        </w:rPr>
        <w:t>到2024年，</w:t>
      </w:r>
      <w:r>
        <w:rPr>
          <w:rFonts w:cs="Times New Roman"/>
        </w:rPr>
        <w:t>通过开展乡风文明建设积分制，推动全县乡风文明水平显著提升、农村人居环境持续改善、乡村产业可持续发展</w:t>
      </w:r>
      <w:bookmarkEnd w:id="141"/>
      <w:r>
        <w:rPr>
          <w:rFonts w:cs="Times New Roman"/>
        </w:rPr>
        <w:t>。</w:t>
      </w:r>
      <w:bookmarkEnd w:id="142"/>
    </w:p>
    <w:p>
      <w:pPr>
        <w:pStyle w:val="2"/>
        <w:spacing w:line="578" w:lineRule="exact"/>
        <w:ind w:firstLine="640"/>
        <w:rPr>
          <w:rFonts w:eastAsia="方正仿宋_GBK"/>
        </w:rPr>
      </w:pPr>
      <w:r>
        <w:rPr>
          <w:rFonts w:hint="eastAsia" w:ascii="方正仿宋_GBK" w:hAnsi="方正仿宋_GBK" w:eastAsia="方正仿宋_GBK" w:cs="方正仿宋_GBK"/>
        </w:rPr>
        <w:t>具体措施：</w:t>
      </w:r>
      <w:r>
        <w:rPr>
          <w:rFonts w:hint="eastAsia" w:ascii="Times New Roman" w:eastAsia="方正仿宋_GBK"/>
          <w:b/>
          <w:bCs/>
        </w:rPr>
        <w:t>一是</w:t>
      </w:r>
      <w:bookmarkStart w:id="143" w:name="OLE_LINK134"/>
      <w:r>
        <w:rPr>
          <w:rFonts w:hint="eastAsia" w:ascii="Times New Roman" w:eastAsia="方正仿宋_GBK"/>
          <w:b/>
          <w:bCs/>
        </w:rPr>
        <w:t>强化统筹协调</w:t>
      </w:r>
      <w:bookmarkEnd w:id="143"/>
      <w:r>
        <w:rPr>
          <w:rFonts w:hint="eastAsia" w:ascii="Times New Roman" w:eastAsia="方正仿宋_GBK"/>
          <w:b/>
          <w:bCs/>
        </w:rPr>
        <w:t>。</w:t>
      </w:r>
      <w:bookmarkStart w:id="144" w:name="OLE_LINK135"/>
      <w:r>
        <w:rPr>
          <w:rFonts w:hint="eastAsia" w:ascii="Times New Roman" w:eastAsia="方正仿宋_GBK"/>
        </w:rPr>
        <w:t>对照</w:t>
      </w:r>
      <w:r>
        <w:rPr>
          <w:rFonts w:ascii="Times New Roman" w:eastAsia="方正仿宋_GBK"/>
          <w:spacing w:val="-2"/>
          <w:szCs w:val="32"/>
        </w:rPr>
        <w:t>《云阳县全面推行乡风文明建设积分制实施</w:t>
      </w:r>
      <w:r>
        <w:rPr>
          <w:rFonts w:eastAsia="方正仿宋_GBK"/>
        </w:rPr>
        <w:t>方案》</w:t>
      </w:r>
      <w:r>
        <w:rPr>
          <w:rFonts w:hint="eastAsia" w:eastAsia="方正仿宋_GBK"/>
        </w:rPr>
        <w:t>，明确目标任务，制定工作推进</w:t>
      </w:r>
      <w:r>
        <w:rPr>
          <w:rFonts w:eastAsia="方正仿宋_GBK"/>
        </w:rPr>
        <w:t>计划</w:t>
      </w:r>
      <w:r>
        <w:rPr>
          <w:rFonts w:hint="eastAsia" w:eastAsia="方正仿宋_GBK"/>
        </w:rPr>
        <w:t>，定期召开联席会，</w:t>
      </w:r>
      <w:r>
        <w:rPr>
          <w:rFonts w:eastAsia="方正仿宋_GBK"/>
        </w:rPr>
        <w:t>统筹</w:t>
      </w:r>
      <w:r>
        <w:rPr>
          <w:rFonts w:ascii="Times New Roman" w:eastAsia="方正仿宋_GBK"/>
          <w:szCs w:val="32"/>
        </w:rPr>
        <w:t>协调县级各</w:t>
      </w:r>
      <w:r>
        <w:rPr>
          <w:rFonts w:hint="eastAsia" w:ascii="Times New Roman" w:eastAsia="方正仿宋_GBK"/>
          <w:szCs w:val="32"/>
        </w:rPr>
        <w:t>牵头单位和</w:t>
      </w:r>
      <w:r>
        <w:rPr>
          <w:rFonts w:ascii="Times New Roman" w:eastAsia="方正仿宋_GBK"/>
          <w:szCs w:val="32"/>
        </w:rPr>
        <w:t>帮扶单位从财</w:t>
      </w:r>
      <w:r>
        <w:rPr>
          <w:rFonts w:eastAsia="方正仿宋_GBK"/>
        </w:rPr>
        <w:t>力、物力等方面协助</w:t>
      </w:r>
      <w:r>
        <w:rPr>
          <w:rFonts w:hint="eastAsia" w:eastAsia="方正仿宋_GBK"/>
        </w:rPr>
        <w:t>乡镇（街道）</w:t>
      </w:r>
      <w:r>
        <w:rPr>
          <w:rFonts w:eastAsia="方正仿宋_GBK"/>
        </w:rPr>
        <w:t>抓好乡风文明建设积分制工作</w:t>
      </w:r>
      <w:bookmarkEnd w:id="144"/>
      <w:r>
        <w:rPr>
          <w:rFonts w:eastAsia="方正仿宋_GBK"/>
        </w:rPr>
        <w:t>。</w:t>
      </w:r>
      <w:r>
        <w:rPr>
          <w:rFonts w:hint="eastAsia" w:eastAsia="方正仿宋_GBK"/>
          <w:b/>
          <w:bCs/>
        </w:rPr>
        <w:t>二是</w:t>
      </w:r>
      <w:bookmarkStart w:id="145" w:name="OLE_LINK136"/>
      <w:r>
        <w:rPr>
          <w:rFonts w:hint="eastAsia" w:eastAsia="方正仿宋_GBK"/>
          <w:b/>
          <w:bCs/>
        </w:rPr>
        <w:t>强化资金监管</w:t>
      </w:r>
      <w:bookmarkEnd w:id="145"/>
      <w:r>
        <w:rPr>
          <w:rFonts w:hint="eastAsia" w:eastAsia="方正仿宋_GBK"/>
          <w:b/>
          <w:bCs/>
        </w:rPr>
        <w:t>。</w:t>
      </w:r>
      <w:bookmarkStart w:id="146" w:name="OLE_LINK137"/>
      <w:r>
        <w:rPr>
          <w:rFonts w:eastAsia="方正仿宋_GBK"/>
        </w:rPr>
        <w:t>加强乡风文明建设积分兑换活动资金监督检查，防止挤占挪用资金。要坚持实事求是，严格按照要求组织开展活动，严禁搞平均主义或直接发放现金物品。</w:t>
      </w:r>
      <w:bookmarkEnd w:id="146"/>
      <w:r>
        <w:rPr>
          <w:rFonts w:hint="eastAsia" w:eastAsia="方正仿宋_GBK"/>
          <w:b/>
          <w:bCs/>
        </w:rPr>
        <w:t>三是</w:t>
      </w:r>
      <w:bookmarkStart w:id="147" w:name="OLE_LINK140"/>
      <w:r>
        <w:rPr>
          <w:rFonts w:hint="eastAsia" w:eastAsia="方正仿宋_GBK"/>
          <w:b/>
          <w:bCs/>
        </w:rPr>
        <w:t>强化宣传发动</w:t>
      </w:r>
      <w:bookmarkEnd w:id="147"/>
      <w:r>
        <w:rPr>
          <w:rFonts w:hint="eastAsia" w:eastAsia="方正仿宋_GBK"/>
          <w:b/>
          <w:bCs/>
        </w:rPr>
        <w:t>。</w:t>
      </w:r>
      <w:bookmarkStart w:id="148" w:name="OLE_LINK138"/>
      <w:r>
        <w:rPr>
          <w:rFonts w:eastAsia="方正仿宋_GBK"/>
        </w:rPr>
        <w:t>充分利用报刊、电视、网络、广播、微信、微博等媒介，采取农民喜闻乐见的方式，选择群众满意、社会认可的正面典型案例作深度报道，推广好经验、好做法，广泛宣传乡风文明建设积分制活动，发动群众积极参与</w:t>
      </w:r>
      <w:bookmarkEnd w:id="148"/>
      <w:r>
        <w:rPr>
          <w:rFonts w:eastAsia="方正仿宋_GBK"/>
        </w:rPr>
        <w:t>。</w:t>
      </w:r>
    </w:p>
    <w:p>
      <w:pPr>
        <w:pStyle w:val="2"/>
        <w:spacing w:line="578" w:lineRule="exact"/>
        <w:ind w:firstLine="640"/>
        <w:rPr>
          <w:rFonts w:eastAsia="方正仿宋_GBK"/>
        </w:rPr>
      </w:pPr>
    </w:p>
    <w:p>
      <w:pPr>
        <w:ind w:firstLine="640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531" w:bottom="1985" w:left="1531" w:header="851" w:footer="1474" w:gutter="0"/>
          <w:cols w:space="425" w:num="1"/>
          <w:docGrid w:type="lines" w:linePitch="435" w:charSpace="0"/>
        </w:sectPr>
      </w:pPr>
      <w:r>
        <w:rPr>
          <w:rFonts w:hint="eastAsia"/>
        </w:rPr>
        <w:t>附件：</w:t>
      </w:r>
      <w:r>
        <w:rPr>
          <w:rFonts w:hint="eastAsia"/>
          <w:spacing w:val="-40"/>
        </w:rPr>
        <w:t>云阳县农业农村工作提能升级三年行动计划</w:t>
      </w:r>
      <w:bookmarkStart w:id="149" w:name="OLE_LINK173"/>
      <w:r>
        <w:rPr>
          <w:rFonts w:hint="eastAsia"/>
          <w:spacing w:val="-40"/>
        </w:rPr>
        <w:t>重点任务表</w:t>
      </w:r>
      <w:bookmarkEnd w:id="149"/>
    </w:p>
    <w:p>
      <w:pPr>
        <w:ind w:firstLine="0" w:firstLineChars="0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附件</w:t>
      </w:r>
    </w:p>
    <w:p>
      <w:pPr>
        <w:ind w:firstLine="0" w:firstLineChars="0"/>
        <w:jc w:val="center"/>
      </w:pPr>
      <w:r>
        <w:rPr>
          <w:rFonts w:hint="eastAsia" w:ascii="方正小标宋_GBK" w:eastAsia="方正小标宋_GBK"/>
          <w:sz w:val="44"/>
          <w:szCs w:val="44"/>
        </w:rPr>
        <w:t>云阳县农业农村工</w:t>
      </w:r>
      <w:r>
        <w:rPr>
          <w:rFonts w:ascii="方正小标宋_GBK" w:eastAsia="方正小标宋_GBK"/>
          <w:sz w:val="44"/>
          <w:szCs w:val="44"/>
        </w:rPr>
        <w:t>作</w:t>
      </w:r>
      <w:r>
        <w:rPr>
          <w:rFonts w:hint="eastAsia" w:ascii="方正小标宋_GBK" w:eastAsia="方正小标宋_GBK"/>
          <w:sz w:val="44"/>
          <w:szCs w:val="44"/>
        </w:rPr>
        <w:t>提能升级三年行动计划重点任务表</w:t>
      </w:r>
    </w:p>
    <w:p>
      <w:pPr>
        <w:spacing w:line="300" w:lineRule="exact"/>
        <w:ind w:firstLine="640"/>
      </w:pPr>
    </w:p>
    <w:tbl>
      <w:tblPr>
        <w:tblStyle w:val="6"/>
        <w:tblW w:w="12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15"/>
        <w:gridCol w:w="1701"/>
        <w:gridCol w:w="4111"/>
        <w:gridCol w:w="3118"/>
        <w:gridCol w:w="992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tblHeader/>
          <w:jc w:val="center"/>
        </w:trPr>
        <w:tc>
          <w:tcPr>
            <w:tcW w:w="456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eastAsia="方正黑体_GBK" w:cs="方正黑体_GBK"/>
                <w:sz w:val="24"/>
                <w:szCs w:val="24"/>
              </w:rPr>
            </w:pPr>
            <w:r>
              <w:rPr>
                <w:rFonts w:hint="eastAsia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815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方正黑体_GBK" w:cs="方正黑体_GBK"/>
                <w:sz w:val="24"/>
                <w:szCs w:val="24"/>
              </w:rPr>
            </w:pPr>
            <w:r>
              <w:rPr>
                <w:rFonts w:hint="eastAsia" w:eastAsia="方正黑体_GBK" w:cs="方正黑体_GBK"/>
                <w:sz w:val="24"/>
                <w:szCs w:val="24"/>
              </w:rPr>
              <w:t>重点任务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方正黑体_GBK" w:cs="方正黑体_GBK"/>
                <w:sz w:val="24"/>
                <w:szCs w:val="24"/>
              </w:rPr>
            </w:pPr>
            <w:r>
              <w:rPr>
                <w:rFonts w:hint="eastAsia" w:eastAsia="方正黑体_GBK" w:cs="方正黑体_GBK"/>
                <w:sz w:val="24"/>
                <w:szCs w:val="24"/>
              </w:rPr>
              <w:t>工作路径</w:t>
            </w:r>
          </w:p>
        </w:tc>
        <w:tc>
          <w:tcPr>
            <w:tcW w:w="4111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方正黑体_GBK" w:cs="方正黑体_GBK"/>
                <w:sz w:val="24"/>
                <w:szCs w:val="24"/>
              </w:rPr>
            </w:pPr>
            <w:r>
              <w:rPr>
                <w:rFonts w:hint="eastAsia" w:eastAsia="方正黑体_GBK" w:cs="方正黑体_GBK"/>
                <w:sz w:val="24"/>
                <w:szCs w:val="24"/>
              </w:rPr>
              <w:t>具体措施</w:t>
            </w:r>
          </w:p>
        </w:tc>
        <w:tc>
          <w:tcPr>
            <w:tcW w:w="3118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方正黑体_GBK" w:cs="方正黑体_GBK"/>
                <w:sz w:val="24"/>
                <w:szCs w:val="24"/>
              </w:rPr>
            </w:pPr>
            <w:r>
              <w:rPr>
                <w:rFonts w:hint="eastAsia" w:eastAsia="方正黑体_GBK" w:cs="方正黑体_GBK"/>
                <w:sz w:val="24"/>
                <w:szCs w:val="24"/>
              </w:rPr>
              <w:t>工作目标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方正黑体_GBK" w:cs="方正黑体_GBK"/>
                <w:sz w:val="24"/>
                <w:szCs w:val="24"/>
              </w:rPr>
            </w:pPr>
            <w:r>
              <w:rPr>
                <w:rFonts w:hint="eastAsia" w:eastAsia="方正黑体_GBK" w:cs="方正黑体_GBK"/>
                <w:sz w:val="24"/>
                <w:szCs w:val="24"/>
              </w:rPr>
              <w:t>责任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eastAsia="方正黑体_GBK" w:cs="方正黑体_GBK"/>
                <w:sz w:val="24"/>
                <w:szCs w:val="24"/>
              </w:rPr>
            </w:pPr>
            <w:r>
              <w:rPr>
                <w:rFonts w:hint="eastAsia" w:eastAsia="方正黑体_GBK" w:cs="方正黑体_GBK"/>
                <w:sz w:val="24"/>
                <w:szCs w:val="24"/>
              </w:rPr>
              <w:t>领导</w:t>
            </w:r>
          </w:p>
        </w:tc>
        <w:tc>
          <w:tcPr>
            <w:tcW w:w="1267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方正黑体_GBK" w:cs="方正黑体_GBK"/>
                <w:sz w:val="24"/>
                <w:szCs w:val="24"/>
              </w:rPr>
            </w:pPr>
            <w:r>
              <w:rPr>
                <w:rFonts w:hint="eastAsia" w:eastAsia="方正黑体_GBK" w:cs="方正黑体_GBK"/>
                <w:sz w:val="24"/>
                <w:szCs w:val="24"/>
              </w:rPr>
              <w:t>责任科室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460" w:type="dxa"/>
            <w:gridSpan w:val="7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黑体_GBK" w:hAnsi="方正黑体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仿宋_GBK"/>
                <w:sz w:val="24"/>
                <w:szCs w:val="24"/>
              </w:rPr>
              <w:t>一、围绕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“</w:t>
            </w:r>
            <w:r>
              <w:rPr>
                <w:rFonts w:hint="eastAsia" w:ascii="方正黑体_GBK" w:hAnsi="方正黑体_GBK" w:eastAsia="方正黑体_GBK" w:cs="方正仿宋_GBK"/>
                <w:sz w:val="24"/>
                <w:szCs w:val="24"/>
              </w:rPr>
              <w:t>底线性任务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”</w:t>
            </w:r>
            <w:r>
              <w:rPr>
                <w:rFonts w:hint="eastAsia" w:ascii="方正黑体_GBK" w:hAnsi="方正黑体_GBK" w:eastAsia="方正黑体_GBK" w:cs="方正仿宋_GBK"/>
                <w:sz w:val="24"/>
                <w:szCs w:val="24"/>
              </w:rPr>
              <w:t>，实施农业稳产保供提升行动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45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vMerge w:val="restar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楷体_GBK" w:hAnsi="方正楷体_GBK" w:eastAsia="方正楷体_GBK" w:cs="方正仿宋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仿宋_GBK"/>
                <w:sz w:val="24"/>
                <w:szCs w:val="24"/>
              </w:rPr>
              <w:t>千方百计稳定粮油生产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稳面积</w:t>
            </w:r>
          </w:p>
        </w:tc>
        <w:tc>
          <w:tcPr>
            <w:tcW w:w="4111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压紧压实粮食生产责任，深挖撂荒地利用潜力，全县撂荒地图斑实现全面清零。</w:t>
            </w:r>
          </w:p>
        </w:tc>
        <w:tc>
          <w:tcPr>
            <w:tcW w:w="3118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bookmarkStart w:id="150" w:name="OLE_LINK159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到</w:t>
            </w:r>
            <w:r>
              <w:rPr>
                <w:rFonts w:eastAsia="方正仿宋_GBK" w:cs="Times New Roman"/>
                <w:sz w:val="24"/>
                <w:szCs w:val="24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年，</w:t>
            </w:r>
            <w:bookmarkEnd w:id="150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全县粮食播种面积稳定在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136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万亩以上</w:t>
            </w:r>
            <w:bookmarkStart w:id="151" w:name="OLE_LINK32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。</w:t>
            </w:r>
            <w:bookmarkEnd w:id="151"/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bookmarkStart w:id="152" w:name="OLE_LINK33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胡曙光</w:t>
            </w:r>
            <w:bookmarkEnd w:id="152"/>
          </w:p>
        </w:tc>
        <w:tc>
          <w:tcPr>
            <w:tcW w:w="1267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种植管理科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农技服务中心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45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  <w:vMerge w:val="continue"/>
          </w:tcPr>
          <w:p>
            <w:pPr>
              <w:spacing w:line="260" w:lineRule="exact"/>
              <w:ind w:firstLine="0" w:firstLineChars="0"/>
              <w:jc w:val="center"/>
              <w:rPr>
                <w:rFonts w:ascii="方正楷体_GBK" w:hAnsi="方正楷体_GBK" w:eastAsia="方正楷体_GBK" w:cs="方正仿宋_GBK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攻单产</w:t>
            </w:r>
          </w:p>
        </w:tc>
        <w:tc>
          <w:tcPr>
            <w:tcW w:w="4111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加大良种、良技、良法推广力度，每年开展粮食绿色高质高效示范片创建，提高复种指数，带动大面积平衡增产。</w:t>
            </w:r>
          </w:p>
        </w:tc>
        <w:tc>
          <w:tcPr>
            <w:tcW w:w="3118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到</w:t>
            </w:r>
            <w:r>
              <w:rPr>
                <w:rFonts w:eastAsia="方正仿宋_GBK" w:cs="Times New Roman"/>
                <w:sz w:val="24"/>
                <w:szCs w:val="24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年，全县粮食年产量达到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41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.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万吨。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胡曙光</w:t>
            </w:r>
          </w:p>
        </w:tc>
        <w:tc>
          <w:tcPr>
            <w:tcW w:w="1267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种植管理科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农技服务中心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45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  <w:vMerge w:val="continue"/>
          </w:tcPr>
          <w:p>
            <w:pPr>
              <w:spacing w:line="260" w:lineRule="exact"/>
              <w:ind w:firstLine="0" w:firstLineChars="0"/>
              <w:jc w:val="center"/>
              <w:rPr>
                <w:rFonts w:ascii="方正楷体_GBK" w:hAnsi="方正楷体_GBK" w:eastAsia="方正楷体_GBK" w:cs="方正仿宋_GBK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增效益</w:t>
            </w:r>
          </w:p>
        </w:tc>
        <w:tc>
          <w:tcPr>
            <w:tcW w:w="4111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加强种粮大户培育。创新经营方式，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支持农民合作社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、家庭农场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发展粮食适度规模经营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，开展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代耕代种、统防统治、土地托管等农业生产社会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化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服务，提高种粮规模效益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。</w:t>
            </w:r>
          </w:p>
        </w:tc>
        <w:tc>
          <w:tcPr>
            <w:tcW w:w="3118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每年培育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5</w:t>
            </w:r>
            <w:r>
              <w:rPr>
                <w:rFonts w:eastAsia="方正仿宋_GBK" w:cs="方正仿宋_GBK"/>
                <w:sz w:val="24"/>
                <w:szCs w:val="24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亩以上种粮大户和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3</w:t>
            </w:r>
            <w:r>
              <w:rPr>
                <w:rFonts w:eastAsia="方正仿宋_GBK" w:cs="方正仿宋_GBK"/>
                <w:sz w:val="24"/>
                <w:szCs w:val="24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亩以上小规模粮油种植户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1</w:t>
            </w:r>
            <w:r>
              <w:rPr>
                <w:rFonts w:eastAsia="方正仿宋_GBK" w:cs="方正仿宋_GBK"/>
                <w:sz w:val="24"/>
                <w:szCs w:val="24"/>
              </w:rPr>
              <w:t>00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户。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胡曙光</w:t>
            </w:r>
          </w:p>
        </w:tc>
        <w:tc>
          <w:tcPr>
            <w:tcW w:w="1267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种植管理科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农技服务中心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45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  <w:vMerge w:val="restar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楷体_GBK" w:hAnsi="方正楷体_GBK" w:eastAsia="方正楷体_GBK" w:cs="方正仿宋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仿宋_GBK"/>
                <w:sz w:val="24"/>
                <w:szCs w:val="24"/>
              </w:rPr>
              <w:t>促进生猪产业平稳健康发展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加快生猪种业体系建设</w:t>
            </w:r>
          </w:p>
        </w:tc>
        <w:tc>
          <w:tcPr>
            <w:tcW w:w="4111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完善生猪种繁基地配套设施，提升生猪供种能力。</w:t>
            </w:r>
          </w:p>
        </w:tc>
        <w:tc>
          <w:tcPr>
            <w:tcW w:w="3118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到</w:t>
            </w:r>
            <w:r>
              <w:rPr>
                <w:rFonts w:eastAsia="方正仿宋_GBK" w:cs="Times New Roman"/>
                <w:sz w:val="24"/>
                <w:szCs w:val="24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年，建设规模适度、设施一流、品种优良的现代化种猪场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个。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向华清</w:t>
            </w:r>
          </w:p>
        </w:tc>
        <w:tc>
          <w:tcPr>
            <w:tcW w:w="1267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养殖管理科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畜牧发展中心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45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  <w:vMerge w:val="continue"/>
          </w:tcPr>
          <w:p>
            <w:pPr>
              <w:spacing w:line="260" w:lineRule="exact"/>
              <w:ind w:firstLine="0" w:firstLineChars="0"/>
              <w:jc w:val="center"/>
              <w:rPr>
                <w:rFonts w:ascii="方正楷体_GBK" w:hAnsi="方正楷体_GBK" w:eastAsia="方正楷体_GBK" w:cs="方正仿宋_GBK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加快标准化养殖场建设</w:t>
            </w:r>
          </w:p>
        </w:tc>
        <w:tc>
          <w:tcPr>
            <w:tcW w:w="4111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加强老旧生猪规模场改造，提升生猪规模场设施化水平。通过“公司+合作组织+家庭农场”等模式，扶持发展中小规模养猪场，优化全县生猪养殖和屠宰布局。</w:t>
            </w:r>
          </w:p>
        </w:tc>
        <w:tc>
          <w:tcPr>
            <w:tcW w:w="3118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到</w:t>
            </w:r>
            <w:r>
              <w:rPr>
                <w:rFonts w:eastAsia="方正仿宋_GBK" w:cs="Times New Roman"/>
                <w:sz w:val="24"/>
                <w:szCs w:val="24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年，全县生猪年出栏量达到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94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万头、较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2021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年增长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5</w:t>
            </w:r>
            <w:r>
              <w:rPr>
                <w:rFonts w:eastAsia="方正仿宋_GBK" w:cs="Times New Roman"/>
                <w:sz w:val="24"/>
                <w:szCs w:val="24"/>
              </w:rPr>
              <w:t>%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，出栏量稳定在全市前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位，生猪养殖规模化率达到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50</w:t>
            </w:r>
            <w:r>
              <w:rPr>
                <w:rFonts w:eastAsia="方正仿宋_GBK" w:cs="Times New Roman"/>
                <w:sz w:val="24"/>
                <w:szCs w:val="24"/>
              </w:rPr>
              <w:t>%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以上、较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2021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年提高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个百分点。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向华清</w:t>
            </w:r>
          </w:p>
        </w:tc>
        <w:tc>
          <w:tcPr>
            <w:tcW w:w="1267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养殖管理科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畜牧发展中心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45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Times New Roman"/>
                <w:sz w:val="24"/>
                <w:szCs w:val="24"/>
              </w:rPr>
              <w:t>6</w:t>
            </w:r>
          </w:p>
        </w:tc>
        <w:tc>
          <w:tcPr>
            <w:tcW w:w="815" w:type="dxa"/>
            <w:vMerge w:val="continue"/>
          </w:tcPr>
          <w:p>
            <w:pPr>
              <w:spacing w:line="260" w:lineRule="exact"/>
              <w:ind w:firstLine="0" w:firstLineChars="0"/>
              <w:jc w:val="center"/>
              <w:rPr>
                <w:rFonts w:ascii="方正楷体_GBK" w:hAnsi="方正楷体_GBK" w:eastAsia="方正楷体_GBK" w:cs="方正仿宋_GBK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加强生猪养殖风险防范</w:t>
            </w:r>
          </w:p>
        </w:tc>
        <w:tc>
          <w:tcPr>
            <w:tcW w:w="4111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加强生猪生产监测预警，指导生猪规模养殖场科学合理安排生产，平稳释放生猪产能。探索开展生猪期货价格保险。毫不松懈抓好非洲猪瘟等重大动物疫病防控。</w:t>
            </w:r>
          </w:p>
        </w:tc>
        <w:tc>
          <w:tcPr>
            <w:tcW w:w="3118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全县生猪产业实现可持续健康发展，实现清净无疫。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向华清</w:t>
            </w:r>
          </w:p>
        </w:tc>
        <w:tc>
          <w:tcPr>
            <w:tcW w:w="1267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养殖管理科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畜牧发展中心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45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Times New Roman"/>
                <w:sz w:val="24"/>
                <w:szCs w:val="24"/>
              </w:rPr>
              <w:t>7</w:t>
            </w:r>
          </w:p>
        </w:tc>
        <w:tc>
          <w:tcPr>
            <w:tcW w:w="815" w:type="dxa"/>
            <w:vMerge w:val="restar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楷体_GBK" w:hAnsi="方正楷体_GBK" w:eastAsia="方正楷体_GBK" w:cs="方正仿宋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仿宋_GBK"/>
                <w:sz w:val="24"/>
                <w:szCs w:val="24"/>
              </w:rPr>
              <w:t>提质发展蔬菜产业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实施蔬菜基地提升工程</w:t>
            </w:r>
          </w:p>
        </w:tc>
        <w:tc>
          <w:tcPr>
            <w:tcW w:w="4111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围绕城乡消费需求，大力推进保供蔬菜基地及配套设施建设，打造城郊鲜销蔬菜、高山错季蔬菜、低山设施蔬菜、加工蔬菜和食用菌等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大蔬菜产业基地，提高蔬菜均衡供给能力。</w:t>
            </w:r>
          </w:p>
        </w:tc>
        <w:tc>
          <w:tcPr>
            <w:tcW w:w="3118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到</w:t>
            </w:r>
            <w:r>
              <w:rPr>
                <w:rFonts w:eastAsia="方正仿宋_GBK" w:cs="Times New Roman"/>
                <w:sz w:val="24"/>
                <w:szCs w:val="24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年，全县蔬菜播种面积达到</w:t>
            </w:r>
            <w:r>
              <w:rPr>
                <w:rFonts w:eastAsia="方正仿宋_GBK" w:cs="方正仿宋_GBK"/>
                <w:sz w:val="24"/>
                <w:szCs w:val="24"/>
              </w:rPr>
              <w:t>38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万亩，总产量达到</w:t>
            </w:r>
            <w:r>
              <w:rPr>
                <w:rFonts w:eastAsia="方正仿宋_GBK" w:cs="方正仿宋_GBK"/>
                <w:sz w:val="24"/>
                <w:szCs w:val="24"/>
              </w:rPr>
              <w:t>60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万吨，较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2021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年分别增长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.</w:t>
            </w:r>
            <w:r>
              <w:rPr>
                <w:rFonts w:eastAsia="方正仿宋_GBK" w:cs="方正仿宋_GBK"/>
                <w:sz w:val="24"/>
                <w:szCs w:val="24"/>
              </w:rPr>
              <w:t>5</w:t>
            </w:r>
            <w:r>
              <w:rPr>
                <w:rFonts w:eastAsia="方正仿宋_GBK" w:cs="Times New Roman"/>
                <w:sz w:val="24"/>
                <w:szCs w:val="24"/>
              </w:rPr>
              <w:t>%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、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1</w:t>
            </w:r>
            <w:r>
              <w:rPr>
                <w:rFonts w:eastAsia="方正仿宋_GBK" w:cs="方正仿宋_GBK"/>
                <w:sz w:val="24"/>
                <w:szCs w:val="24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.</w:t>
            </w:r>
            <w:r>
              <w:rPr>
                <w:rFonts w:eastAsia="方正仿宋_GBK" w:cs="方正仿宋_GBK"/>
                <w:sz w:val="24"/>
                <w:szCs w:val="24"/>
              </w:rPr>
              <w:t>9</w:t>
            </w:r>
            <w:r>
              <w:rPr>
                <w:rFonts w:eastAsia="方正仿宋_GBK" w:cs="Times New Roman"/>
                <w:sz w:val="24"/>
                <w:szCs w:val="24"/>
              </w:rPr>
              <w:t>%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；蔬菜种植大户（露地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亩以上，大棚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亩以上）达到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80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户。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胡曙光</w:t>
            </w:r>
          </w:p>
        </w:tc>
        <w:tc>
          <w:tcPr>
            <w:tcW w:w="1267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农业服务中心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45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Times New Roman"/>
                <w:sz w:val="24"/>
                <w:szCs w:val="24"/>
              </w:rPr>
              <w:t>8</w:t>
            </w: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楷体_GBK" w:hAnsi="方正楷体_GBK" w:eastAsia="方正楷体_GBK" w:cs="方正仿宋_GBK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实施蔬菜种苗提升工程</w:t>
            </w:r>
          </w:p>
        </w:tc>
        <w:tc>
          <w:tcPr>
            <w:tcW w:w="4111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在凤鸣、巴阳等地布局建设集约化育苗场，提升蔬菜产出质量。</w:t>
            </w:r>
          </w:p>
        </w:tc>
        <w:tc>
          <w:tcPr>
            <w:tcW w:w="3118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每年通过购买服务方式集中培育优质蔬菜种苗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1000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万株并无偿发放给农户。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胡曙光</w:t>
            </w:r>
          </w:p>
        </w:tc>
        <w:tc>
          <w:tcPr>
            <w:tcW w:w="1267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农业服务中心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45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Times New Roman"/>
                <w:sz w:val="24"/>
                <w:szCs w:val="24"/>
              </w:rPr>
              <w:t>9</w:t>
            </w: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楷体_GBK" w:hAnsi="方正楷体_GBK" w:eastAsia="方正楷体_GBK" w:cs="方正仿宋_GBK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实施蔬菜产销对接工程</w:t>
            </w:r>
          </w:p>
        </w:tc>
        <w:tc>
          <w:tcPr>
            <w:tcW w:w="4111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协调重庆农高集团、宏霖食品等企业与蔬菜基地开展订单生产、直采直供，联合县商务委推进蔬菜农批对接、农超对接、农校对接。</w:t>
            </w:r>
          </w:p>
        </w:tc>
        <w:tc>
          <w:tcPr>
            <w:tcW w:w="3118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到</w:t>
            </w:r>
            <w:r>
              <w:rPr>
                <w:rFonts w:eastAsia="方正仿宋_GBK" w:cs="Times New Roman"/>
                <w:sz w:val="24"/>
                <w:szCs w:val="24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年，构建多层次、全覆盖的蔬菜销售供应体系。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胡曙光</w:t>
            </w:r>
          </w:p>
        </w:tc>
        <w:tc>
          <w:tcPr>
            <w:tcW w:w="1267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农业服务中心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45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Times New Roman"/>
                <w:sz w:val="24"/>
                <w:szCs w:val="24"/>
              </w:rPr>
              <w:t>1</w:t>
            </w:r>
            <w:r>
              <w:rPr>
                <w:rFonts w:eastAsia="方正仿宋_GBK" w:cs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  <w:vMerge w:val="restar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楷体_GBK" w:hAnsi="方正楷体_GBK" w:eastAsia="方正楷体_GBK" w:cs="方正仿宋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仿宋_GBK"/>
                <w:sz w:val="24"/>
                <w:szCs w:val="24"/>
              </w:rPr>
              <w:t>大力发展生态渔业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实施大水面生态渔业工程</w:t>
            </w:r>
          </w:p>
        </w:tc>
        <w:tc>
          <w:tcPr>
            <w:tcW w:w="4111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在清水湖、梅峰水库、咸池水库等宜渔水库发展大水面生态渔业，配套建设市场营销体系，培育知名品牌，实现增产增效。</w:t>
            </w:r>
          </w:p>
        </w:tc>
        <w:tc>
          <w:tcPr>
            <w:tcW w:w="3118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到</w:t>
            </w:r>
            <w:r>
              <w:rPr>
                <w:rFonts w:eastAsia="方正仿宋_GBK" w:cs="Times New Roman"/>
                <w:sz w:val="24"/>
                <w:szCs w:val="24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年，全县水库生态鱼养殖稳定在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.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万亩，水产品总产量达到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.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万吨左右、较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2021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年增长</w:t>
            </w:r>
            <w:r>
              <w:rPr>
                <w:rFonts w:eastAsia="方正仿宋_GBK" w:cs="方正仿宋_GBK"/>
                <w:sz w:val="24"/>
                <w:szCs w:val="24"/>
              </w:rPr>
              <w:t>17</w:t>
            </w:r>
            <w:r>
              <w:rPr>
                <w:rFonts w:eastAsia="方正仿宋_GBK" w:cs="Times New Roman"/>
                <w:sz w:val="24"/>
                <w:szCs w:val="24"/>
              </w:rPr>
              <w:t>%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宋国荣</w:t>
            </w:r>
          </w:p>
        </w:tc>
        <w:tc>
          <w:tcPr>
            <w:tcW w:w="1267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水产站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45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Times New Roman"/>
                <w:sz w:val="24"/>
                <w:szCs w:val="24"/>
              </w:rPr>
              <w:t>1</w:t>
            </w:r>
            <w:r>
              <w:rPr>
                <w:rFonts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楷体_GBK" w:hAnsi="方正楷体_GBK" w:eastAsia="方正楷体_GBK" w:cs="方正仿宋_GBK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实施稻渔综合种养建设工程</w:t>
            </w:r>
          </w:p>
        </w:tc>
        <w:tc>
          <w:tcPr>
            <w:tcW w:w="4111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配合高标准农田建设项目，推广“稻渔综合种养”模式，建设</w:t>
            </w:r>
            <w:r>
              <w:rPr>
                <w:rFonts w:eastAsia="方正仿宋_GBK" w:cs="方正仿宋_GBK"/>
                <w:sz w:val="24"/>
                <w:szCs w:val="24"/>
              </w:rPr>
              <w:t>500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亩以上示范基地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个。</w:t>
            </w:r>
          </w:p>
        </w:tc>
        <w:tc>
          <w:tcPr>
            <w:tcW w:w="3118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到</w:t>
            </w:r>
            <w:r>
              <w:rPr>
                <w:rFonts w:eastAsia="方正仿宋_GBK" w:cs="Times New Roman"/>
                <w:sz w:val="24"/>
                <w:szCs w:val="24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年，稻田生态鱼面积达到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1500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亩。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宋国荣</w:t>
            </w:r>
          </w:p>
        </w:tc>
        <w:tc>
          <w:tcPr>
            <w:tcW w:w="1267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水产站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45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Times New Roman"/>
                <w:sz w:val="24"/>
                <w:szCs w:val="24"/>
              </w:rPr>
              <w:t>1</w:t>
            </w:r>
            <w:r>
              <w:rPr>
                <w:rFonts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楷体_GBK" w:hAnsi="方正楷体_GBK" w:eastAsia="方正楷体_GBK" w:cs="方正仿宋_GBK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实施池塘渔业生态提升工程</w:t>
            </w:r>
          </w:p>
        </w:tc>
        <w:tc>
          <w:tcPr>
            <w:tcW w:w="4111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按照国家级水产健康养殖示范场标准，升级改造专养池塘渔业设施。</w:t>
            </w:r>
          </w:p>
        </w:tc>
        <w:tc>
          <w:tcPr>
            <w:tcW w:w="3118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到</w:t>
            </w:r>
            <w:r>
              <w:rPr>
                <w:rFonts w:eastAsia="方正仿宋_GBK" w:cs="Times New Roman"/>
                <w:sz w:val="24"/>
                <w:szCs w:val="24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年，建设“鱼菜共生”循环水养殖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6000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立方米。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宋国荣</w:t>
            </w:r>
          </w:p>
        </w:tc>
        <w:tc>
          <w:tcPr>
            <w:tcW w:w="1267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水产站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460" w:type="dxa"/>
            <w:gridSpan w:val="7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黑体_GBK" w:hAnsi="方正黑体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仿宋_GBK"/>
                <w:sz w:val="24"/>
                <w:szCs w:val="24"/>
              </w:rPr>
              <w:t>二、围绕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“</w:t>
            </w:r>
            <w:r>
              <w:rPr>
                <w:rFonts w:hint="eastAsia" w:ascii="方正黑体_GBK" w:hAnsi="方正黑体_GBK" w:eastAsia="方正黑体_GBK" w:cs="方正仿宋_GBK"/>
                <w:sz w:val="24"/>
                <w:szCs w:val="24"/>
              </w:rPr>
              <w:t>高质量发展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”</w:t>
            </w:r>
            <w:r>
              <w:rPr>
                <w:rFonts w:hint="eastAsia" w:ascii="方正黑体_GBK" w:hAnsi="方正黑体_GBK" w:eastAsia="方正黑体_GBK" w:cs="方正仿宋_GBK"/>
                <w:sz w:val="24"/>
                <w:szCs w:val="24"/>
              </w:rPr>
              <w:t>，实施特色产业提质增效行动。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45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Times New Roman"/>
                <w:sz w:val="24"/>
                <w:szCs w:val="24"/>
              </w:rPr>
            </w:pPr>
            <w:r>
              <w:rPr>
                <w:rFonts w:eastAsia="方正仿宋_GBK" w:cs="Times New Roman"/>
                <w:sz w:val="24"/>
                <w:szCs w:val="24"/>
              </w:rPr>
              <w:t>13</w:t>
            </w:r>
          </w:p>
        </w:tc>
        <w:tc>
          <w:tcPr>
            <w:tcW w:w="815" w:type="dxa"/>
            <w:vMerge w:val="restar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楷体_GBK" w:hAnsi="方正楷体_GBK" w:eastAsia="方正楷体_GBK" w:cs="方正仿宋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仿宋_GBK"/>
                <w:sz w:val="24"/>
                <w:szCs w:val="24"/>
              </w:rPr>
              <w:t>培育壮大特色农业产业集群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培育壮大水果产业集群</w:t>
            </w:r>
          </w:p>
        </w:tc>
        <w:tc>
          <w:tcPr>
            <w:tcW w:w="4111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优化品种布局，通过高换、新建和补植，每年调优柑橘品种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万亩。提质增效柑橘果园，通过推广水肥药一体化、轨道运输机等设施化装备，推行绿色高效栽培技术，每年改造低质低效果园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万亩。强化水果种植、销售、社会化服务三大主体培育，每年培育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亩以上规模化种植主体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500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个、果品经济人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50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人、社会化服务组织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家。加强品牌营销，实现“云阳红橙”全国有名、库区有位。</w:t>
            </w:r>
          </w:p>
        </w:tc>
        <w:tc>
          <w:tcPr>
            <w:tcW w:w="3118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到</w:t>
            </w:r>
            <w:r>
              <w:rPr>
                <w:rFonts w:eastAsia="方正仿宋_GBK" w:cs="Times New Roman"/>
                <w:sz w:val="24"/>
                <w:szCs w:val="24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年，全县水果面积达到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4</w:t>
            </w:r>
            <w:r>
              <w:rPr>
                <w:rFonts w:eastAsia="方正仿宋_GBK" w:cs="方正仿宋_GBK"/>
                <w:sz w:val="24"/>
                <w:szCs w:val="24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万亩、产量达到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48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万吨，其中柑橘面积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34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万亩、产量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33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万吨。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胡曙光</w:t>
            </w:r>
          </w:p>
        </w:tc>
        <w:tc>
          <w:tcPr>
            <w:tcW w:w="1267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县果品产业发展中心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45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Times New Roman"/>
                <w:sz w:val="24"/>
                <w:szCs w:val="24"/>
              </w:rPr>
              <w:t>1</w:t>
            </w:r>
            <w:r>
              <w:rPr>
                <w:rFonts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楷体_GBK" w:hAnsi="方正楷体_GBK" w:eastAsia="方正楷体_GBK" w:cs="方正仿宋_GBK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培育壮大中药材产业集群</w:t>
            </w:r>
          </w:p>
        </w:tc>
        <w:tc>
          <w:tcPr>
            <w:tcW w:w="4111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大力发展天麻、枳壳、川佛手、小茴香、淫羊藿等道地品种和菊花、艾草、黄精、前胡、丹参、三木药材（黄柏、杜仲、厚朴）适生优势品种，加强特色中药材GAP规范化种植基地建设，打造“天生药乡、花果药乡”道地药材基地，建成三峡库区道地药材基地县。依托科研院所，建设三峡库区中药材种苗繁育基地、中药材科研基地。支持中药材加工龙头企业做大做强，建设现代中药材示范基地，做大中药加工业，打造菊花、艾草等生态农业观光园。</w:t>
            </w:r>
          </w:p>
        </w:tc>
        <w:tc>
          <w:tcPr>
            <w:tcW w:w="3118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到</w:t>
            </w:r>
            <w:r>
              <w:rPr>
                <w:rFonts w:eastAsia="方正仿宋_GBK" w:cs="Times New Roman"/>
                <w:sz w:val="24"/>
                <w:szCs w:val="24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年，全县中药材种植总面积达到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万亩，产量达到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.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万吨。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胡曙光</w:t>
            </w:r>
          </w:p>
        </w:tc>
        <w:tc>
          <w:tcPr>
            <w:tcW w:w="1267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县农技服务中心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45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Times New Roman"/>
                <w:sz w:val="24"/>
                <w:szCs w:val="24"/>
              </w:rPr>
              <w:t>1</w:t>
            </w:r>
            <w:r>
              <w:rPr>
                <w:rFonts w:eastAsia="方正仿宋_GBK" w:cs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楷体_GBK" w:hAnsi="方正楷体_GBK" w:eastAsia="方正楷体_GBK" w:cs="方正仿宋_GBK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培育壮大生态养殖产业集群</w:t>
            </w:r>
          </w:p>
        </w:tc>
        <w:tc>
          <w:tcPr>
            <w:tcW w:w="4111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按照“稳生猪、扩牛羊”思路，在稳定发展生猪产能的基础上，实施肉牛肉羊生产发展三年行动，增加牛羊肉供应。以重庆农高集团为载体，打造国家肉牛核心育种场，完善现有山羊种繁基地设施，培育市级山羊繁育基地。支持牛羊扩群增量、基础设施升级、品种改良，提升饲养管理水平。总结推广牛羊适度规模养殖模式，促进牛羊生产方式转变。推进家禽产业稳步发展，以集约化、设施化为标准，支持规模化蛋鸡养殖场建设，重点打造巴阳农高望丰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50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万只蛋鸡现代化产业园。</w:t>
            </w:r>
          </w:p>
        </w:tc>
        <w:tc>
          <w:tcPr>
            <w:tcW w:w="3118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到</w:t>
            </w:r>
            <w:r>
              <w:rPr>
                <w:rFonts w:eastAsia="方正仿宋_GBK" w:cs="Times New Roman"/>
                <w:sz w:val="24"/>
                <w:szCs w:val="24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年，全县肉牛出栏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.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万头、山羊出栏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65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.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万头、家禽出栏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591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.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万头，较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2021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年分别增长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14</w:t>
            </w:r>
            <w:r>
              <w:rPr>
                <w:rFonts w:eastAsia="方正仿宋_GBK" w:cs="Times New Roman"/>
                <w:sz w:val="24"/>
                <w:szCs w:val="24"/>
              </w:rPr>
              <w:t>%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、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1</w:t>
            </w:r>
            <w:r>
              <w:rPr>
                <w:rFonts w:eastAsia="方正仿宋_GBK" w:cs="方正仿宋_GBK"/>
                <w:sz w:val="24"/>
                <w:szCs w:val="24"/>
              </w:rPr>
              <w:t>0</w:t>
            </w:r>
            <w:r>
              <w:rPr>
                <w:rFonts w:eastAsia="方正仿宋_GBK" w:cs="Times New Roman"/>
                <w:sz w:val="24"/>
                <w:szCs w:val="24"/>
              </w:rPr>
              <w:t>%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、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16</w:t>
            </w:r>
            <w:r>
              <w:rPr>
                <w:rFonts w:eastAsia="方正仿宋_GBK" w:cs="Times New Roman"/>
                <w:sz w:val="24"/>
                <w:szCs w:val="24"/>
              </w:rPr>
              <w:t>%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，肉牛出栏量稳定在全市前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位、山羊出栏量稳定在全市第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位。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向华清</w:t>
            </w:r>
          </w:p>
        </w:tc>
        <w:tc>
          <w:tcPr>
            <w:tcW w:w="1267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县畜牧发展中心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45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Times New Roman"/>
                <w:sz w:val="24"/>
                <w:szCs w:val="24"/>
              </w:rPr>
              <w:t>1</w:t>
            </w:r>
            <w:r>
              <w:rPr>
                <w:rFonts w:eastAsia="方正仿宋_GBK" w:cs="Times New Roman"/>
                <w:sz w:val="24"/>
                <w:szCs w:val="24"/>
              </w:rPr>
              <w:t>6</w:t>
            </w:r>
          </w:p>
        </w:tc>
        <w:tc>
          <w:tcPr>
            <w:tcW w:w="815" w:type="dxa"/>
            <w:vMerge w:val="restar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楷体_GBK" w:hAnsi="方正楷体_GBK" w:eastAsia="方正楷体_GBK" w:cs="方正仿宋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仿宋_GBK"/>
                <w:sz w:val="24"/>
                <w:szCs w:val="24"/>
              </w:rPr>
              <w:t>加强农业全产业链建设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做响做靓农业品牌</w:t>
            </w:r>
          </w:p>
        </w:tc>
        <w:tc>
          <w:tcPr>
            <w:tcW w:w="4111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加强农业生产“三品一标”建设，着力强认证、创品牌，每年新增绿色食品、有机食品、名牌农产品、名特优新农产品等市级以上农业品牌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个以上。持续推进“天生云阳”农产品区域公用品牌建设，常态化维持授权子品牌数在</w:t>
            </w:r>
            <w:r>
              <w:rPr>
                <w:rFonts w:eastAsia="方正仿宋_GBK" w:cs="方正仿宋_GBK"/>
                <w:sz w:val="24"/>
                <w:szCs w:val="24"/>
              </w:rPr>
              <w:t>50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个以上。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力争将“天生云阳”品牌打造成中国驰名商标。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刘文广</w:t>
            </w:r>
          </w:p>
        </w:tc>
        <w:tc>
          <w:tcPr>
            <w:tcW w:w="1267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农产品质量监管科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45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Times New Roman"/>
                <w:sz w:val="24"/>
                <w:szCs w:val="24"/>
              </w:rPr>
              <w:t>1</w:t>
            </w:r>
            <w:r>
              <w:rPr>
                <w:rFonts w:eastAsia="方正仿宋_GBK" w:cs="Times New Roman"/>
                <w:sz w:val="24"/>
                <w:szCs w:val="24"/>
              </w:rPr>
              <w:t>7</w:t>
            </w: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楷体_GBK" w:hAnsi="方正楷体_GBK" w:eastAsia="方正楷体_GBK" w:cs="方正仿宋_GBK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做大做强农产品加工业</w:t>
            </w:r>
          </w:p>
        </w:tc>
        <w:tc>
          <w:tcPr>
            <w:tcW w:w="4111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以绿色食品加工和药材加工为重点，扶持发展特色农产品产地加工和精深加工，大力培育链主企业，支持农产品加工企业“企升规”“创龙头”，推动农产品加工业上规模、提能级。</w:t>
            </w:r>
          </w:p>
        </w:tc>
        <w:tc>
          <w:tcPr>
            <w:tcW w:w="3118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全县农产品加工业产值年均增长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1</w:t>
            </w:r>
            <w:r>
              <w:rPr>
                <w:rFonts w:eastAsia="方正仿宋_GBK" w:cs="方正仿宋_GBK"/>
                <w:sz w:val="24"/>
                <w:szCs w:val="24"/>
              </w:rPr>
              <w:t>0</w:t>
            </w:r>
            <w:r>
              <w:rPr>
                <w:rFonts w:eastAsia="方正仿宋_GBK" w:cs="Times New Roman"/>
                <w:sz w:val="24"/>
                <w:szCs w:val="24"/>
              </w:rPr>
              <w:t>%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以上，到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年达到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12</w:t>
            </w:r>
            <w:r>
              <w:rPr>
                <w:rFonts w:eastAsia="方正仿宋_GBK" w:cs="方正仿宋_GBK"/>
                <w:sz w:val="24"/>
                <w:szCs w:val="24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亿元，农产品加工业产值与农业总产值比达到</w:t>
            </w:r>
            <w:r>
              <w:rPr>
                <w:rFonts w:eastAsia="方正仿宋_GBK" w:cs="方正仿宋_GBK"/>
                <w:sz w:val="24"/>
                <w:szCs w:val="24"/>
              </w:rPr>
              <w:t>1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.</w:t>
            </w:r>
            <w:r>
              <w:rPr>
                <w:rFonts w:eastAsia="方正仿宋_GBK" w:cs="方正仿宋_GBK"/>
                <w:sz w:val="24"/>
                <w:szCs w:val="24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: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1。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刘昊</w:t>
            </w:r>
          </w:p>
        </w:tc>
        <w:tc>
          <w:tcPr>
            <w:tcW w:w="1267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发展规划科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45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Times New Roman"/>
                <w:sz w:val="24"/>
                <w:szCs w:val="24"/>
              </w:rPr>
              <w:t>1</w:t>
            </w:r>
            <w:r>
              <w:rPr>
                <w:rFonts w:eastAsia="方正仿宋_GBK" w:cs="Times New Roman"/>
                <w:sz w:val="24"/>
                <w:szCs w:val="24"/>
              </w:rPr>
              <w:t>8</w:t>
            </w: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楷体_GBK" w:hAnsi="方正楷体_GBK" w:eastAsia="方正楷体_GBK" w:cs="方正仿宋_GBK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做精做优乡村休闲旅游业</w:t>
            </w:r>
          </w:p>
        </w:tc>
        <w:tc>
          <w:tcPr>
            <w:tcW w:w="4111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坚持“产业融合化、园区景区化、乡村旅游化”思路，以“一综两园四带”为示范，推进产业基地标准化建设和景区化改造，推动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1</w:t>
            </w:r>
            <w:r>
              <w:rPr>
                <w:rFonts w:eastAsia="方正仿宋_GBK" w:cs="方正仿宋_GBK"/>
                <w:sz w:val="24"/>
                <w:szCs w:val="24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条乡村休闲旅游精品线路优化升级，促进乡村产业多业态融合、多要素聚集、多主体参与。</w:t>
            </w:r>
          </w:p>
        </w:tc>
        <w:tc>
          <w:tcPr>
            <w:tcW w:w="3118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到</w:t>
            </w:r>
            <w:r>
              <w:rPr>
                <w:rFonts w:eastAsia="方正仿宋_GBK" w:cs="Times New Roman"/>
                <w:sz w:val="24"/>
                <w:szCs w:val="24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年，创建国家级美丽休闲乡村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个；乡村休闲旅游业综合收入达到</w:t>
            </w:r>
            <w:r>
              <w:rPr>
                <w:rFonts w:eastAsia="方正仿宋_GBK" w:cs="Times New Roman"/>
                <w:sz w:val="24"/>
                <w:szCs w:val="24"/>
              </w:rPr>
              <w:t>25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亿元。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刘昊</w:t>
            </w:r>
          </w:p>
        </w:tc>
        <w:tc>
          <w:tcPr>
            <w:tcW w:w="1267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发展规划科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45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Times New Roman"/>
                <w:sz w:val="24"/>
                <w:szCs w:val="24"/>
              </w:rPr>
              <w:t>1</w:t>
            </w:r>
            <w:r>
              <w:rPr>
                <w:rFonts w:eastAsia="方正仿宋_GBK" w:cs="Times New Roman"/>
                <w:sz w:val="24"/>
                <w:szCs w:val="24"/>
              </w:rPr>
              <w:t>9</w:t>
            </w:r>
          </w:p>
        </w:tc>
        <w:tc>
          <w:tcPr>
            <w:tcW w:w="815" w:type="dxa"/>
            <w:vMerge w:val="restar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楷体_GBK" w:hAnsi="方正楷体_GBK" w:eastAsia="方正楷体_GBK" w:cs="方正仿宋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仿宋_GBK"/>
                <w:sz w:val="24"/>
                <w:szCs w:val="24"/>
              </w:rPr>
              <w:t>全面提高农业综合生产能力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实施高标准农田建设工程</w:t>
            </w:r>
          </w:p>
        </w:tc>
        <w:tc>
          <w:tcPr>
            <w:tcW w:w="4111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以粮油主产区为重点，整村整镇整片推进高标准农田建设，健全高标准农田改造更新机制，新建高标准农田</w:t>
            </w:r>
            <w:r>
              <w:rPr>
                <w:rFonts w:eastAsia="方正仿宋_GBK" w:cs="方正仿宋_GBK"/>
                <w:sz w:val="24"/>
                <w:szCs w:val="24"/>
              </w:rPr>
              <w:t>24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万亩，完成丘陵山区高标准农田改造提升</w:t>
            </w:r>
            <w:r>
              <w:rPr>
                <w:rFonts w:eastAsia="方正仿宋_GBK" w:cs="方正仿宋_GBK"/>
                <w:sz w:val="24"/>
                <w:szCs w:val="24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万亩，加快建成一批“宜机宜耕、能排能灌、高产稳产、旱涝保收”的现代粮油产业示范区</w:t>
            </w:r>
          </w:p>
        </w:tc>
        <w:tc>
          <w:tcPr>
            <w:tcW w:w="3118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到</w:t>
            </w:r>
            <w:r>
              <w:rPr>
                <w:rFonts w:eastAsia="方正仿宋_GBK" w:cs="Times New Roman"/>
                <w:sz w:val="24"/>
                <w:szCs w:val="24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年，全县耕地中高标准农田的占比达到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56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.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5</w:t>
            </w:r>
            <w:r>
              <w:rPr>
                <w:rFonts w:eastAsia="方正仿宋_GBK" w:cs="Times New Roman"/>
                <w:sz w:val="24"/>
                <w:szCs w:val="24"/>
              </w:rPr>
              <w:t>%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、较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2021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年提高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16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个百分点。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刘文广</w:t>
            </w:r>
          </w:p>
        </w:tc>
        <w:tc>
          <w:tcPr>
            <w:tcW w:w="1267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农田建设科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45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Times New Roman"/>
                <w:sz w:val="24"/>
                <w:szCs w:val="24"/>
              </w:rPr>
              <w:t>2</w:t>
            </w:r>
            <w:r>
              <w:rPr>
                <w:rFonts w:eastAsia="方正仿宋_GBK" w:cs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楷体_GBK" w:hAnsi="方正楷体_GBK" w:eastAsia="方正楷体_GBK" w:cs="方正仿宋_GBK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实施农业机械化水平提升工程</w:t>
            </w:r>
          </w:p>
        </w:tc>
        <w:tc>
          <w:tcPr>
            <w:tcW w:w="4111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加强农田宜机化整治，改善农机通行和作业条件。加快农机装备现代化建设，开展粮油、柑橘等主要作物高效植保、产地烘干、秸秆处理、耕种收等全程机械化示范。推进农机作业社会化服务，每年扶持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个社会化服务组织。加强农机技能培训，每年至少举办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期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60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人的农机操作和维修技能人才培训。</w:t>
            </w:r>
          </w:p>
        </w:tc>
        <w:tc>
          <w:tcPr>
            <w:tcW w:w="3118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到</w:t>
            </w:r>
            <w:r>
              <w:rPr>
                <w:rFonts w:eastAsia="方正仿宋_GBK" w:cs="Times New Roman"/>
                <w:sz w:val="24"/>
                <w:szCs w:val="24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年，全县土地宜机化整治面积达到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万亩；农业机械拥有量新增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万台套、达到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万台套；农作物耕种收综合机械化率达到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55</w:t>
            </w:r>
            <w:r>
              <w:rPr>
                <w:rFonts w:eastAsia="方正仿宋_GBK" w:cs="Times New Roman"/>
                <w:sz w:val="24"/>
                <w:szCs w:val="24"/>
              </w:rPr>
              <w:t>%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，较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2021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年提高</w:t>
            </w:r>
            <w:r>
              <w:rPr>
                <w:rFonts w:eastAsia="方正仿宋_GBK" w:cs="方正仿宋_GBK"/>
                <w:sz w:val="24"/>
                <w:szCs w:val="24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个百分点。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刘文广</w:t>
            </w:r>
          </w:p>
        </w:tc>
        <w:tc>
          <w:tcPr>
            <w:tcW w:w="1267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农机推广站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  <w:jc w:val="center"/>
        </w:trPr>
        <w:tc>
          <w:tcPr>
            <w:tcW w:w="45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Times New Roman"/>
                <w:sz w:val="24"/>
                <w:szCs w:val="24"/>
              </w:rPr>
              <w:t>2</w:t>
            </w:r>
            <w:r>
              <w:rPr>
                <w:rFonts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vMerge w:val="restar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楷体_GBK" w:hAnsi="方正楷体_GBK" w:eastAsia="方正楷体_GBK" w:cs="方正仿宋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仿宋_GBK"/>
                <w:sz w:val="24"/>
                <w:szCs w:val="24"/>
              </w:rPr>
              <w:t>扎实推动农业绿色发展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打好长江“十年禁渔”持久战</w:t>
            </w:r>
          </w:p>
        </w:tc>
        <w:tc>
          <w:tcPr>
            <w:tcW w:w="4111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完善禁捕水域“县、乡、村”三级网格化监管体系，实现常态化巡护不留盲区。深化渔政执法能力建设，采取“人防+技防”方式，织密禁捕监管网。高压严打非法捕捞，常态化开展“四清四无”专项行动，强化联防联控，彻底斩断非法捕捞、运输、销售长江野生鱼类的黑色产业链。</w:t>
            </w:r>
          </w:p>
        </w:tc>
        <w:tc>
          <w:tcPr>
            <w:tcW w:w="3118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持续巩固长江“十年禁渔”成果。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宋国荣</w:t>
            </w:r>
          </w:p>
        </w:tc>
        <w:tc>
          <w:tcPr>
            <w:tcW w:w="1267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县农业行政执法支队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45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Times New Roman"/>
                <w:sz w:val="24"/>
                <w:szCs w:val="24"/>
              </w:rPr>
              <w:t>2</w:t>
            </w:r>
            <w:r>
              <w:rPr>
                <w:rFonts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楷体_GBK" w:hAnsi="方正楷体_GBK" w:eastAsia="方正楷体_GBK" w:cs="方正仿宋_GBK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深入推进化肥农药减量增效行动</w:t>
            </w:r>
          </w:p>
        </w:tc>
        <w:tc>
          <w:tcPr>
            <w:tcW w:w="4111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持续开展县级化肥农药减量示范片建设，示范推广化肥农药主要减量技术。强化化肥农药减量技术培训，实现全县规模种植户、农资经销商和村社干部培训全覆盖。</w:t>
            </w:r>
          </w:p>
        </w:tc>
        <w:tc>
          <w:tcPr>
            <w:tcW w:w="3118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到</w:t>
            </w:r>
            <w:r>
              <w:rPr>
                <w:rFonts w:eastAsia="方正仿宋_GBK" w:cs="Times New Roman"/>
                <w:sz w:val="24"/>
                <w:szCs w:val="24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年，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全县化肥、农药使用量分别比</w:t>
            </w:r>
            <w:r>
              <w:rPr>
                <w:rFonts w:hint="eastAsia" w:eastAsia="方正仿宋_GBK" w:cs="Times New Roman"/>
                <w:sz w:val="24"/>
                <w:szCs w:val="24"/>
              </w:rPr>
              <w:t>2</w:t>
            </w:r>
            <w:r>
              <w:rPr>
                <w:rFonts w:eastAsia="方正仿宋_GBK" w:cs="Times New Roman"/>
                <w:sz w:val="24"/>
                <w:szCs w:val="24"/>
              </w:rPr>
              <w:t>021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年下降</w:t>
            </w:r>
            <w:r>
              <w:rPr>
                <w:rFonts w:hint="eastAsia" w:eastAsia="方正仿宋_GBK" w:cs="Times New Roman"/>
                <w:sz w:val="24"/>
                <w:szCs w:val="24"/>
              </w:rPr>
              <w:t>0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.</w:t>
            </w:r>
            <w:r>
              <w:rPr>
                <w:rFonts w:hint="eastAsia" w:eastAsia="方正仿宋_GBK" w:cs="Times New Roman"/>
                <w:sz w:val="24"/>
                <w:szCs w:val="24"/>
              </w:rPr>
              <w:t>3</w:t>
            </w:r>
            <w:r>
              <w:rPr>
                <w:rFonts w:eastAsia="方正仿宋_GBK" w:cs="Times New Roman"/>
                <w:sz w:val="24"/>
                <w:szCs w:val="24"/>
              </w:rPr>
              <w:t>%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、</w:t>
            </w:r>
            <w:r>
              <w:rPr>
                <w:rFonts w:hint="eastAsia" w:eastAsia="方正仿宋_GBK" w:cs="Times New Roman"/>
                <w:sz w:val="24"/>
                <w:szCs w:val="24"/>
              </w:rPr>
              <w:t>0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.</w:t>
            </w:r>
            <w:r>
              <w:rPr>
                <w:rFonts w:hint="eastAsia" w:eastAsia="方正仿宋_GBK" w:cs="Times New Roman"/>
                <w:sz w:val="24"/>
                <w:szCs w:val="24"/>
              </w:rPr>
              <w:t>35</w:t>
            </w:r>
            <w:r>
              <w:rPr>
                <w:rFonts w:eastAsia="方正仿宋_GBK" w:cs="Times New Roman"/>
                <w:sz w:val="24"/>
                <w:szCs w:val="24"/>
              </w:rPr>
              <w:t>%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胡曙光</w:t>
            </w:r>
          </w:p>
        </w:tc>
        <w:tc>
          <w:tcPr>
            <w:tcW w:w="1267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农业技术服务中心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5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Times New Roman"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楷体_GBK" w:hAnsi="方正楷体_GBK" w:eastAsia="方正楷体_GBK" w:cs="方正仿宋_GBK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加强农业废弃物资源化利用</w:t>
            </w:r>
          </w:p>
        </w:tc>
        <w:tc>
          <w:tcPr>
            <w:tcW w:w="4111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加快畜禽养殖废弃物资源化利用，加强巡察监管和设施配套，建设巴阳镇畜禽粪污资源化生态利用处理中心。强化农作物秸秆综合利用，大力推广肥料化、饲料化、基料化等秸秆利用技术。开展农药包装废弃物回收利用，建立健全“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中心+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42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个回收站（点）”的回收体系，积极探索“押金制”“补贴制”等回收制度。</w:t>
            </w:r>
          </w:p>
        </w:tc>
        <w:tc>
          <w:tcPr>
            <w:tcW w:w="3118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到</w:t>
            </w:r>
            <w:r>
              <w:rPr>
                <w:rFonts w:eastAsia="方正仿宋_GBK" w:cs="Times New Roman"/>
                <w:sz w:val="24"/>
                <w:szCs w:val="24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年，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畜禽粪污综合利用率稳定在</w:t>
            </w:r>
            <w:r>
              <w:rPr>
                <w:rFonts w:hint="eastAsia" w:eastAsia="方正仿宋_GBK" w:cs="Times New Roman"/>
                <w:sz w:val="24"/>
                <w:szCs w:val="24"/>
              </w:rPr>
              <w:t>95</w:t>
            </w:r>
            <w:r>
              <w:rPr>
                <w:rFonts w:eastAsia="方正仿宋_GBK" w:cs="Times New Roman"/>
                <w:sz w:val="24"/>
                <w:szCs w:val="24"/>
              </w:rPr>
              <w:t>%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以上，农作物秸秆综合利用率稳定在</w:t>
            </w:r>
            <w:r>
              <w:rPr>
                <w:rFonts w:hint="eastAsia" w:eastAsia="方正仿宋_GBK" w:cs="Times New Roman"/>
                <w:sz w:val="24"/>
                <w:szCs w:val="24"/>
              </w:rPr>
              <w:t>90</w:t>
            </w:r>
            <w:r>
              <w:rPr>
                <w:rFonts w:eastAsia="方正仿宋_GBK" w:cs="Times New Roman"/>
                <w:sz w:val="24"/>
                <w:szCs w:val="24"/>
              </w:rPr>
              <w:t>%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以上，农药包装废弃物回收率达到</w:t>
            </w:r>
            <w:r>
              <w:rPr>
                <w:rFonts w:hint="eastAsia" w:eastAsia="方正仿宋_GBK" w:cs="Times New Roman"/>
                <w:sz w:val="24"/>
                <w:szCs w:val="24"/>
              </w:rPr>
              <w:t>60</w:t>
            </w:r>
            <w:r>
              <w:rPr>
                <w:rFonts w:eastAsia="方正仿宋_GBK" w:cs="Times New Roman"/>
                <w:sz w:val="24"/>
                <w:szCs w:val="24"/>
              </w:rPr>
              <w:t>%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向华清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胡曙光</w:t>
            </w:r>
          </w:p>
        </w:tc>
        <w:tc>
          <w:tcPr>
            <w:tcW w:w="1267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畜牧发展中心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农业技术服务中心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460" w:type="dxa"/>
            <w:gridSpan w:val="7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黑体_GBK" w:hAnsi="方正黑体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仿宋_GBK"/>
                <w:sz w:val="24"/>
                <w:szCs w:val="24"/>
              </w:rPr>
              <w:t>三、围绕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“</w:t>
            </w:r>
            <w:r>
              <w:rPr>
                <w:rFonts w:hint="eastAsia" w:ascii="方正黑体_GBK" w:hAnsi="方正黑体_GBK" w:eastAsia="方正黑体_GBK" w:cs="方正仿宋_GBK"/>
                <w:sz w:val="24"/>
                <w:szCs w:val="24"/>
              </w:rPr>
              <w:t>创新性要求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”</w:t>
            </w:r>
            <w:r>
              <w:rPr>
                <w:rFonts w:hint="eastAsia" w:ascii="方正黑体_GBK" w:hAnsi="方正黑体_GBK" w:eastAsia="方正黑体_GBK" w:cs="方正仿宋_GBK"/>
                <w:sz w:val="24"/>
                <w:szCs w:val="24"/>
              </w:rPr>
              <w:t>，实施农业农村改革创新行动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45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Times New Roman"/>
                <w:sz w:val="24"/>
                <w:szCs w:val="24"/>
              </w:rPr>
              <w:t>2</w:t>
            </w:r>
            <w:r>
              <w:rPr>
                <w:rFonts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  <w:vMerge w:val="restar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楷体_GBK" w:hAnsi="方正楷体_GBK" w:eastAsia="方正楷体_GBK" w:cs="方正仿宋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仿宋_GBK"/>
                <w:sz w:val="24"/>
                <w:szCs w:val="24"/>
              </w:rPr>
              <w:t>加强农业科技创新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强化推广应用</w:t>
            </w:r>
          </w:p>
        </w:tc>
        <w:tc>
          <w:tcPr>
            <w:tcW w:w="4111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开展新品种新技术试验推广。大力推进示范基地建设。</w:t>
            </w:r>
          </w:p>
        </w:tc>
        <w:tc>
          <w:tcPr>
            <w:tcW w:w="3118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每年推介农业主推技术</w:t>
            </w:r>
            <w:r>
              <w:rPr>
                <w:rFonts w:hint="eastAsia" w:eastAsia="方正仿宋_GBK" w:cs="Times New Roman"/>
                <w:sz w:val="24"/>
                <w:szCs w:val="24"/>
              </w:rPr>
              <w:t>8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项以上；到</w:t>
            </w:r>
            <w:r>
              <w:rPr>
                <w:rFonts w:hint="eastAsia" w:eastAsia="方正仿宋_GBK" w:cs="Times New Roman"/>
                <w:sz w:val="24"/>
                <w:szCs w:val="24"/>
              </w:rPr>
              <w:t>2</w:t>
            </w:r>
            <w:r>
              <w:rPr>
                <w:rFonts w:eastAsia="方正仿宋_GBK" w:cs="Times New Roman"/>
                <w:sz w:val="24"/>
                <w:szCs w:val="24"/>
              </w:rPr>
              <w:t>024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年，创建国家数字农业创新应用基地</w:t>
            </w:r>
            <w:r>
              <w:rPr>
                <w:rFonts w:hint="eastAsia" w:eastAsia="方正仿宋_GBK" w:cs="Times New Roman"/>
                <w:sz w:val="24"/>
                <w:szCs w:val="24"/>
              </w:rPr>
              <w:t>1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个、农业科技示范基地</w:t>
            </w:r>
            <w:r>
              <w:rPr>
                <w:rFonts w:eastAsia="方正仿宋_GBK" w:cs="Times New Roman"/>
                <w:sz w:val="24"/>
                <w:szCs w:val="24"/>
              </w:rPr>
              <w:t>6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个，建设智慧农业试验示范基地</w:t>
            </w:r>
            <w:r>
              <w:rPr>
                <w:rFonts w:hint="eastAsia" w:eastAsia="方正仿宋_GBK" w:cs="Times New Roman"/>
                <w:sz w:val="24"/>
                <w:szCs w:val="24"/>
              </w:rPr>
              <w:t>10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个，建设畜禽、水产、柑橘等种繁基地</w:t>
            </w:r>
            <w:r>
              <w:rPr>
                <w:rFonts w:hint="eastAsia" w:eastAsia="方正仿宋_GBK" w:cs="Times New Roman"/>
                <w:sz w:val="24"/>
                <w:szCs w:val="24"/>
              </w:rPr>
              <w:t>1</w:t>
            </w:r>
            <w:r>
              <w:rPr>
                <w:rFonts w:eastAsia="方正仿宋_GBK" w:cs="Times New Roman"/>
                <w:sz w:val="24"/>
                <w:szCs w:val="24"/>
              </w:rPr>
              <w:t>0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个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FF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向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清</w:t>
            </w:r>
          </w:p>
        </w:tc>
        <w:tc>
          <w:tcPr>
            <w:tcW w:w="1267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科教信息科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45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Times New Roman"/>
                <w:sz w:val="24"/>
                <w:szCs w:val="24"/>
              </w:rPr>
              <w:t>2</w:t>
            </w:r>
            <w:r>
              <w:rPr>
                <w:rFonts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楷体_GBK" w:hAnsi="方正楷体_GBK" w:eastAsia="方正楷体_GBK" w:cs="方正仿宋_GBK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强化技术支撑</w:t>
            </w:r>
          </w:p>
        </w:tc>
        <w:tc>
          <w:tcPr>
            <w:tcW w:w="4111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与高校分支机构、科研平台、科技服务工作站、市级产业技术体系创新团队等开展合作。</w:t>
            </w:r>
          </w:p>
        </w:tc>
        <w:tc>
          <w:tcPr>
            <w:tcW w:w="3118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到</w:t>
            </w:r>
            <w:r>
              <w:rPr>
                <w:rFonts w:eastAsia="方正仿宋_GBK" w:cs="Times New Roman"/>
                <w:sz w:val="24"/>
                <w:szCs w:val="24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年，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在我县布局综合试验站、科技示范基地、专家工作室、成果转化中心</w:t>
            </w:r>
            <w:r>
              <w:rPr>
                <w:rFonts w:ascii="方正仿宋_GBK" w:hAnsi="方正仿宋_GBK" w:eastAsia="方正仿宋_GBK" w:cs="Times New Roman"/>
                <w:sz w:val="24"/>
                <w:szCs w:val="24"/>
              </w:rPr>
              <w:t>5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个。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向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清</w:t>
            </w:r>
          </w:p>
        </w:tc>
        <w:tc>
          <w:tcPr>
            <w:tcW w:w="1267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科教信息科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45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Times New Roman"/>
                <w:sz w:val="24"/>
                <w:szCs w:val="24"/>
              </w:rPr>
              <w:t>2</w:t>
            </w:r>
            <w:r>
              <w:rPr>
                <w:rFonts w:eastAsia="方正仿宋_GBK" w:cs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楷体_GBK" w:hAnsi="方正楷体_GBK" w:eastAsia="方正楷体_GBK" w:cs="方正仿宋_GBK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强化农民培育</w:t>
            </w:r>
          </w:p>
        </w:tc>
        <w:tc>
          <w:tcPr>
            <w:tcW w:w="4111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坚持数量和质量并重，实施农村致富带头人培养、高素质农民培育提升行动，健全分级分类培训体系，优化升级农民田间学校等培训平台，引育提升农民教育师资力量，完善职业农民、致富带头人、农村实用人才等评定规则及办法。</w:t>
            </w:r>
          </w:p>
        </w:tc>
        <w:tc>
          <w:tcPr>
            <w:tcW w:w="3118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每年农村致富带头人和高素质农民培训数量较上年增长</w:t>
            </w:r>
            <w:r>
              <w:rPr>
                <w:rFonts w:hint="eastAsia" w:eastAsia="方正仿宋_GBK" w:cs="Times New Roman"/>
                <w:sz w:val="24"/>
                <w:szCs w:val="24"/>
              </w:rPr>
              <w:t>1</w:t>
            </w:r>
            <w:r>
              <w:rPr>
                <w:rFonts w:eastAsia="方正仿宋_GBK" w:cs="Times New Roman"/>
                <w:sz w:val="24"/>
                <w:szCs w:val="24"/>
              </w:rPr>
              <w:t>0%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，三年内培训学员满意度由</w:t>
            </w:r>
            <w:r>
              <w:rPr>
                <w:rFonts w:hint="eastAsia" w:eastAsia="方正仿宋_GBK" w:cs="Times New Roman"/>
                <w:sz w:val="24"/>
                <w:szCs w:val="24"/>
              </w:rPr>
              <w:t>85</w:t>
            </w:r>
            <w:r>
              <w:rPr>
                <w:rFonts w:eastAsia="方正仿宋_GBK" w:cs="Times New Roman"/>
                <w:sz w:val="24"/>
                <w:szCs w:val="24"/>
              </w:rPr>
              <w:t>%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提高至</w:t>
            </w:r>
            <w:r>
              <w:rPr>
                <w:rFonts w:hint="eastAsia" w:eastAsia="方正仿宋_GBK" w:cs="Times New Roman"/>
                <w:sz w:val="24"/>
                <w:szCs w:val="24"/>
              </w:rPr>
              <w:t>95</w:t>
            </w:r>
            <w:r>
              <w:rPr>
                <w:rFonts w:eastAsia="方正仿宋_GBK" w:cs="Times New Roman"/>
                <w:sz w:val="24"/>
                <w:szCs w:val="24"/>
              </w:rPr>
              <w:t>%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向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清</w:t>
            </w:r>
          </w:p>
        </w:tc>
        <w:tc>
          <w:tcPr>
            <w:tcW w:w="1267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科技培训中心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45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Times New Roman"/>
                <w:sz w:val="24"/>
                <w:szCs w:val="24"/>
              </w:rPr>
              <w:t>2</w:t>
            </w:r>
            <w:r>
              <w:rPr>
                <w:rFonts w:eastAsia="方正仿宋_GBK" w:cs="Times New Roman"/>
                <w:sz w:val="24"/>
                <w:szCs w:val="24"/>
              </w:rPr>
              <w:t>6</w:t>
            </w:r>
          </w:p>
        </w:tc>
        <w:tc>
          <w:tcPr>
            <w:tcW w:w="815" w:type="dxa"/>
            <w:vMerge w:val="restar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楷体_GBK" w:hAnsi="方正楷体_GBK" w:eastAsia="方正楷体_GBK" w:cs="方正仿宋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Times New Roman"/>
                <w:sz w:val="24"/>
                <w:szCs w:val="24"/>
              </w:rPr>
              <w:t>培育壮大农业市场主体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培育壮大新型农业经营主体</w:t>
            </w:r>
          </w:p>
        </w:tc>
        <w:tc>
          <w:tcPr>
            <w:tcW w:w="4111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实施家庭农场倍增计划，加强家庭农场名录库系统的管理，积极引导符合家庭农场条件的经营户全部登记注册。加强示范合作社创建，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巩固提升全县农民专业合作社质量。</w:t>
            </w:r>
          </w:p>
        </w:tc>
        <w:tc>
          <w:tcPr>
            <w:tcW w:w="3118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三年间分别新增培育家庭农场</w:t>
            </w:r>
            <w:r>
              <w:rPr>
                <w:rFonts w:hint="eastAsia" w:eastAsia="方正仿宋_GBK" w:cs="Times New Roman"/>
                <w:sz w:val="24"/>
                <w:szCs w:val="24"/>
              </w:rPr>
              <w:t>300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家、</w:t>
            </w:r>
            <w:r>
              <w:rPr>
                <w:rFonts w:hint="eastAsia" w:eastAsia="方正仿宋_GBK" w:cs="Times New Roman"/>
                <w:sz w:val="24"/>
                <w:szCs w:val="24"/>
              </w:rPr>
              <w:t>400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家、</w:t>
            </w:r>
            <w:r>
              <w:rPr>
                <w:rFonts w:hint="eastAsia" w:eastAsia="方正仿宋_GBK" w:cs="Times New Roman"/>
                <w:sz w:val="24"/>
                <w:szCs w:val="24"/>
              </w:rPr>
              <w:t>500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家；年新增创建县级以上示范社</w:t>
            </w:r>
            <w:r>
              <w:rPr>
                <w:rFonts w:hint="eastAsia" w:eastAsia="方正仿宋_GBK" w:cs="Times New Roman"/>
                <w:sz w:val="24"/>
                <w:szCs w:val="24"/>
              </w:rPr>
              <w:t>15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家；到</w:t>
            </w:r>
            <w:r>
              <w:rPr>
                <w:rFonts w:hint="eastAsia" w:eastAsia="方正仿宋_GBK" w:cs="Times New Roman"/>
                <w:sz w:val="24"/>
                <w:szCs w:val="24"/>
              </w:rPr>
              <w:t>2024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年，全县家庭农场达到</w:t>
            </w:r>
            <w:r>
              <w:rPr>
                <w:rFonts w:hint="eastAsia" w:eastAsia="方正仿宋_GBK" w:cs="Times New Roman"/>
                <w:sz w:val="24"/>
                <w:szCs w:val="24"/>
              </w:rPr>
              <w:t>2500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家，实现翻一番；国家级示范社达到</w:t>
            </w:r>
            <w:r>
              <w:rPr>
                <w:rFonts w:hint="eastAsia" w:eastAsia="方正仿宋_GBK" w:cs="Times New Roman"/>
                <w:sz w:val="24"/>
                <w:szCs w:val="24"/>
              </w:rPr>
              <w:t>15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家、市级示范社达到</w:t>
            </w:r>
            <w:r>
              <w:rPr>
                <w:rFonts w:hint="eastAsia" w:eastAsia="方正仿宋_GBK" w:cs="Times New Roman"/>
                <w:sz w:val="24"/>
                <w:szCs w:val="24"/>
              </w:rPr>
              <w:t>50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家、县级示范社达到</w:t>
            </w:r>
            <w:r>
              <w:rPr>
                <w:rFonts w:hint="eastAsia" w:eastAsia="方正仿宋_GBK" w:cs="Times New Roman"/>
                <w:sz w:val="24"/>
                <w:szCs w:val="24"/>
              </w:rPr>
              <w:t>75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家，县级以上示范合作社总量增长</w:t>
            </w:r>
            <w:r>
              <w:rPr>
                <w:rFonts w:hint="eastAsia" w:eastAsia="方正仿宋_GBK" w:cs="Times New Roman"/>
                <w:sz w:val="24"/>
                <w:szCs w:val="24"/>
              </w:rPr>
              <w:t>45</w:t>
            </w:r>
            <w:r>
              <w:rPr>
                <w:rFonts w:eastAsia="方正仿宋_GBK" w:cs="Times New Roman"/>
                <w:sz w:val="24"/>
                <w:szCs w:val="24"/>
              </w:rPr>
              <w:t>%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吴平</w:t>
            </w:r>
          </w:p>
        </w:tc>
        <w:tc>
          <w:tcPr>
            <w:tcW w:w="1267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经营管理科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45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Times New Roman"/>
                <w:sz w:val="24"/>
                <w:szCs w:val="24"/>
              </w:rPr>
              <w:t>2</w:t>
            </w:r>
            <w:r>
              <w:rPr>
                <w:rFonts w:eastAsia="方正仿宋_GBK" w:cs="Times New Roman"/>
                <w:sz w:val="24"/>
                <w:szCs w:val="24"/>
              </w:rPr>
              <w:t>7</w:t>
            </w: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楷体_GBK" w:hAnsi="方正楷体_GBK" w:eastAsia="方正楷体_GBK" w:cs="方正仿宋_GBK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培育壮大农业社会化服务组织</w:t>
            </w:r>
          </w:p>
        </w:tc>
        <w:tc>
          <w:tcPr>
            <w:tcW w:w="4111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聚焦粮油、柑橘等重点产业，积极组建柑橘产业联合体、规模化农机服务组织、粮油社会化服务组织等，鼓励服务主体创新服务模式和组织形式，从产中向产前、产后等环节及金融保险等配套服务延伸，满足多样化服务需求。</w:t>
            </w:r>
          </w:p>
        </w:tc>
        <w:tc>
          <w:tcPr>
            <w:tcW w:w="3118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到</w:t>
            </w:r>
            <w:r>
              <w:rPr>
                <w:rFonts w:eastAsia="方正仿宋_GBK" w:cs="Times New Roman"/>
                <w:sz w:val="24"/>
                <w:szCs w:val="24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年，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农业生产社会化服务组织达到</w:t>
            </w:r>
            <w:r>
              <w:rPr>
                <w:rFonts w:hint="eastAsia" w:eastAsia="方正仿宋_GBK" w:cs="Times New Roman"/>
                <w:sz w:val="24"/>
                <w:szCs w:val="24"/>
              </w:rPr>
              <w:t>1000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个，实现翻一番；社会化服务面积达到</w:t>
            </w:r>
            <w:r>
              <w:rPr>
                <w:rFonts w:hint="eastAsia" w:eastAsia="方正仿宋_GBK" w:cs="Times New Roman"/>
                <w:sz w:val="24"/>
                <w:szCs w:val="24"/>
              </w:rPr>
              <w:t>75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万亩次，年均增长</w:t>
            </w:r>
            <w:r>
              <w:rPr>
                <w:rFonts w:hint="eastAsia" w:eastAsia="方正仿宋_GBK" w:cs="Times New Roman"/>
                <w:sz w:val="24"/>
                <w:szCs w:val="24"/>
              </w:rPr>
              <w:t>10</w:t>
            </w:r>
            <w:r>
              <w:rPr>
                <w:rFonts w:eastAsia="方正仿宋_GBK" w:cs="Times New Roman"/>
                <w:sz w:val="24"/>
                <w:szCs w:val="24"/>
              </w:rPr>
              <w:t>%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吴平</w:t>
            </w:r>
          </w:p>
        </w:tc>
        <w:tc>
          <w:tcPr>
            <w:tcW w:w="1267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经营管理科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45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Times New Roman"/>
                <w:sz w:val="24"/>
                <w:szCs w:val="24"/>
              </w:rPr>
              <w:t>2</w:t>
            </w:r>
            <w:r>
              <w:rPr>
                <w:rFonts w:eastAsia="方正仿宋_GBK" w:cs="Times New Roman"/>
                <w:sz w:val="24"/>
                <w:szCs w:val="24"/>
              </w:rPr>
              <w:t>8</w:t>
            </w:r>
          </w:p>
        </w:tc>
        <w:tc>
          <w:tcPr>
            <w:tcW w:w="815" w:type="dxa"/>
            <w:vMerge w:val="restar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楷体_GBK" w:hAnsi="方正楷体_GBK" w:eastAsia="方正楷体_GBK" w:cs="方正仿宋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Times New Roman"/>
                <w:sz w:val="24"/>
                <w:szCs w:val="24"/>
              </w:rPr>
              <w:t>全面深化农业农村改革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以农村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ascii="方正仿宋_GBK" w:hAnsi="方正仿宋_GBK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三变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ascii="方正仿宋_GBK" w:hAnsi="方正仿宋_GBK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改革为抓手壮大新型集体经济</w:t>
            </w:r>
          </w:p>
        </w:tc>
        <w:tc>
          <w:tcPr>
            <w:tcW w:w="4111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每年新增“三变”改革试点村</w:t>
            </w:r>
            <w:r>
              <w:rPr>
                <w:rFonts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ascii="方正仿宋_GBK" w:hAnsi="方正仿宋_GBK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左右</w:t>
            </w:r>
            <w:r>
              <w:rPr>
                <w:rFonts w:ascii="方正仿宋_GBK" w:hAnsi="方正仿宋_GBK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，到</w:t>
            </w:r>
            <w:r>
              <w:rPr>
                <w:rFonts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ascii="方正仿宋_GBK" w:hAnsi="方正仿宋_GBK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年实现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试点</w:t>
            </w:r>
            <w:r>
              <w:rPr>
                <w:rFonts w:ascii="方正仿宋_GBK" w:hAnsi="方正仿宋_GBK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村全覆盖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方正仿宋_GBK" w:hAnsi="方正仿宋_GBK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积极打造集体经济示范村，</w:t>
            </w:r>
            <w:r>
              <w:rPr>
                <w:rFonts w:hint="eastAsia" w:ascii="方正仿宋_GBK" w:hAnsi="方正仿宋_GBK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年均新培育年收益</w:t>
            </w:r>
            <w:r>
              <w:rPr>
                <w:rFonts w:hint="eastAsia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方正仿宋_GBK" w:hAnsi="方正仿宋_GBK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万元的村</w:t>
            </w:r>
            <w:r>
              <w:rPr>
                <w:rFonts w:hint="eastAsia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方正仿宋_GBK" w:hAnsi="方正仿宋_GBK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个，到</w:t>
            </w:r>
            <w:r>
              <w:rPr>
                <w:rFonts w:hint="eastAsia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方正仿宋_GBK" w:hAnsi="方正仿宋_GBK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年，集体经济示范村达到</w:t>
            </w:r>
            <w:r>
              <w:rPr>
                <w:rFonts w:hint="eastAsia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方正仿宋_GBK" w:hAnsi="方正仿宋_GBK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个。</w:t>
            </w:r>
            <w:r>
              <w:rPr>
                <w:rFonts w:ascii="方正仿宋_GBK" w:hAnsi="方正仿宋_GBK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完善</w:t>
            </w:r>
            <w:r>
              <w:rPr>
                <w:rFonts w:hint="eastAsia" w:ascii="方正仿宋_GBK" w:hAnsi="方正仿宋_GBK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村集体</w:t>
            </w:r>
            <w:r>
              <w:rPr>
                <w:rFonts w:ascii="方正仿宋_GBK" w:hAnsi="方正仿宋_GBK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财务管理、资产管理、财务开支审批等内部管理制度，全面落实集体成员分红和经营管理人员薪酬奖励。</w:t>
            </w:r>
          </w:p>
        </w:tc>
        <w:tc>
          <w:tcPr>
            <w:tcW w:w="3118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到</w:t>
            </w:r>
            <w:r>
              <w:rPr>
                <w:rFonts w:hint="eastAsia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年，全县集体经济收入突破</w:t>
            </w:r>
            <w:r>
              <w:rPr>
                <w:rFonts w:hint="eastAsia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亿元，实现收入翻番。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吴平</w:t>
            </w:r>
          </w:p>
        </w:tc>
        <w:tc>
          <w:tcPr>
            <w:tcW w:w="1267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经营管理科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45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Times New Roman"/>
                <w:sz w:val="24"/>
                <w:szCs w:val="24"/>
              </w:rPr>
              <w:t>2</w:t>
            </w:r>
            <w:r>
              <w:rPr>
                <w:rFonts w:eastAsia="方正仿宋_GBK" w:cs="Times New Roman"/>
                <w:sz w:val="24"/>
                <w:szCs w:val="24"/>
              </w:rPr>
              <w:t>9</w:t>
            </w: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楷体_GBK" w:hAnsi="方正楷体_GBK" w:eastAsia="方正楷体_GBK" w:cs="方正仿宋_GBK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持续深化农村土地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ascii="方正仿宋_GBK" w:hAnsi="方正仿宋_GBK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三权分置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ascii="方正仿宋_GBK" w:hAnsi="方正仿宋_GBK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改革</w:t>
            </w:r>
          </w:p>
        </w:tc>
        <w:tc>
          <w:tcPr>
            <w:tcW w:w="4111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在稳定承包权的基础上，鼓励各乡镇、村社因地制宜探索土地托管、土地股份合作等盘活承包地新路径新模式，带动农业适度规模经营发展</w:t>
            </w:r>
          </w:p>
        </w:tc>
        <w:tc>
          <w:tcPr>
            <w:tcW w:w="3118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到</w:t>
            </w:r>
            <w:r>
              <w:rPr>
                <w:rFonts w:eastAsia="方正仿宋_GBK" w:cs="Times New Roman"/>
                <w:sz w:val="24"/>
                <w:szCs w:val="24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年，</w:t>
            </w:r>
            <w:r>
              <w:rPr>
                <w:rFonts w:ascii="方正仿宋_GBK" w:hAnsi="方正仿宋_GBK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土地</w:t>
            </w:r>
            <w:r>
              <w:rPr>
                <w:rFonts w:ascii="方正仿宋_GBK" w:hAnsi="方正仿宋_GBK" w:eastAsia="方正仿宋_GBK" w:cs="Times New Roman"/>
                <w:sz w:val="24"/>
                <w:szCs w:val="24"/>
              </w:rPr>
              <w:t>流转适度规模经营面积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达到</w:t>
            </w:r>
            <w:r>
              <w:rPr>
                <w:rFonts w:hint="eastAsia" w:eastAsia="方正仿宋_GBK" w:cs="Times New Roman"/>
                <w:sz w:val="24"/>
                <w:szCs w:val="24"/>
              </w:rPr>
              <w:t>65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万亩，规模化经营占比达到</w:t>
            </w:r>
            <w:r>
              <w:rPr>
                <w:rFonts w:hint="eastAsia" w:eastAsia="方正仿宋_GBK" w:cs="Times New Roman"/>
                <w:sz w:val="24"/>
                <w:szCs w:val="24"/>
              </w:rPr>
              <w:t>45</w:t>
            </w:r>
            <w:r>
              <w:rPr>
                <w:rFonts w:eastAsia="方正仿宋_GBK" w:cs="Times New Roman"/>
                <w:sz w:val="24"/>
                <w:szCs w:val="24"/>
              </w:rPr>
              <w:t>%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，年增长</w:t>
            </w:r>
            <w:r>
              <w:rPr>
                <w:rFonts w:hint="eastAsia" w:eastAsia="方正仿宋_GBK" w:cs="Times New Roman"/>
                <w:sz w:val="24"/>
                <w:szCs w:val="24"/>
              </w:rPr>
              <w:t>1</w:t>
            </w:r>
            <w:r>
              <w:rPr>
                <w:rFonts w:eastAsia="方正仿宋_GBK" w:cs="Times New Roman"/>
                <w:sz w:val="24"/>
                <w:szCs w:val="24"/>
              </w:rPr>
              <w:t>%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吴平</w:t>
            </w:r>
          </w:p>
        </w:tc>
        <w:tc>
          <w:tcPr>
            <w:tcW w:w="1267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经营管理科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45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Times New Roman"/>
                <w:sz w:val="24"/>
                <w:szCs w:val="24"/>
              </w:rPr>
              <w:t>3</w:t>
            </w:r>
            <w:r>
              <w:rPr>
                <w:rFonts w:eastAsia="方正仿宋_GBK" w:cs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楷体_GBK" w:hAnsi="方正楷体_GBK" w:eastAsia="方正楷体_GBK" w:cs="方正仿宋_GBK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积极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探索盘活集体资产的有效途径</w:t>
            </w:r>
          </w:p>
        </w:tc>
        <w:tc>
          <w:tcPr>
            <w:tcW w:w="4111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深度挖掘本地的自然资源和历史人文资源优势，通过招商引资、惠农政策、发展产业等多种方式实现闲置资产资源盘活利用。</w:t>
            </w:r>
          </w:p>
        </w:tc>
        <w:tc>
          <w:tcPr>
            <w:tcW w:w="3118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到</w:t>
            </w:r>
            <w:r>
              <w:rPr>
                <w:rFonts w:eastAsia="方正仿宋_GBK" w:cs="Times New Roman"/>
                <w:sz w:val="24"/>
                <w:szCs w:val="24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年，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村集体总资产达到</w:t>
            </w:r>
            <w:r>
              <w:rPr>
                <w:rFonts w:hint="eastAsia" w:eastAsia="方正仿宋_GBK" w:cs="Times New Roman"/>
                <w:sz w:val="24"/>
                <w:szCs w:val="24"/>
              </w:rPr>
              <w:t>65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亿元、增长</w:t>
            </w:r>
            <w:r>
              <w:rPr>
                <w:rFonts w:hint="eastAsia" w:eastAsia="方正仿宋_GBK" w:cs="Times New Roman"/>
                <w:sz w:val="24"/>
                <w:szCs w:val="24"/>
              </w:rPr>
              <w:t>10</w:t>
            </w:r>
            <w:r>
              <w:rPr>
                <w:rFonts w:eastAsia="方正仿宋_GBK" w:cs="Times New Roman"/>
                <w:sz w:val="24"/>
                <w:szCs w:val="24"/>
              </w:rPr>
              <w:t>%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，村集体经营性资产达到</w:t>
            </w:r>
            <w:r>
              <w:rPr>
                <w:rFonts w:hint="eastAsia" w:eastAsia="方正仿宋_GBK" w:cs="Times New Roman"/>
                <w:sz w:val="24"/>
                <w:szCs w:val="24"/>
              </w:rPr>
              <w:t>2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.</w:t>
            </w:r>
            <w:r>
              <w:rPr>
                <w:rFonts w:hint="eastAsia" w:eastAsia="方正仿宋_GBK" w:cs="Times New Roman"/>
                <w:sz w:val="24"/>
                <w:szCs w:val="24"/>
              </w:rPr>
              <w:t>6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亿元、增长</w:t>
            </w:r>
            <w:r>
              <w:rPr>
                <w:rFonts w:hint="eastAsia" w:eastAsia="方正仿宋_GBK" w:cs="Times New Roman"/>
                <w:sz w:val="24"/>
                <w:szCs w:val="24"/>
              </w:rPr>
              <w:t>30</w:t>
            </w:r>
            <w:r>
              <w:rPr>
                <w:rFonts w:eastAsia="方正仿宋_GBK" w:cs="Times New Roman"/>
                <w:sz w:val="24"/>
                <w:szCs w:val="24"/>
              </w:rPr>
              <w:t>%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吴平</w:t>
            </w:r>
          </w:p>
        </w:tc>
        <w:tc>
          <w:tcPr>
            <w:tcW w:w="1267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经营管理科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45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Times New Roman"/>
                <w:sz w:val="24"/>
                <w:szCs w:val="24"/>
              </w:rPr>
              <w:t>3</w:t>
            </w:r>
            <w:r>
              <w:rPr>
                <w:rFonts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楷体_GBK" w:hAnsi="方正楷体_GBK" w:eastAsia="方正楷体_GBK" w:cs="方正仿宋_GBK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进一步加强</w:t>
            </w:r>
            <w:bookmarkStart w:id="153" w:name="OLE_LINK98"/>
            <w:r>
              <w:rPr>
                <w:rFonts w:hint="eastAsia" w:ascii="方正仿宋_GBK" w:hAnsi="方正仿宋_GBK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农村集体“三资”</w:t>
            </w:r>
            <w:bookmarkEnd w:id="153"/>
            <w:r>
              <w:rPr>
                <w:rFonts w:hint="eastAsia" w:ascii="方正仿宋_GBK" w:hAnsi="方正仿宋_GBK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4111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加强业务培训，提升镇村财务管理业务水平，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运用大数据管理系统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加强村集体资金监管。</w:t>
            </w:r>
          </w:p>
        </w:tc>
        <w:tc>
          <w:tcPr>
            <w:tcW w:w="3118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有效防范化解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农村集体“三资”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风险。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吴平</w:t>
            </w:r>
          </w:p>
        </w:tc>
        <w:tc>
          <w:tcPr>
            <w:tcW w:w="1267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经营管理科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45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Times New Roman"/>
                <w:sz w:val="24"/>
                <w:szCs w:val="24"/>
              </w:rPr>
              <w:t>3</w:t>
            </w:r>
            <w:r>
              <w:rPr>
                <w:rFonts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  <w:vMerge w:val="restar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楷体_GBK" w:hAnsi="方正楷体_GBK" w:eastAsia="方正楷体_GBK" w:cs="方正仿宋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Times New Roman"/>
                <w:sz w:val="24"/>
                <w:szCs w:val="24"/>
              </w:rPr>
              <w:t>持续深化农业综合行政执法改革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突出信息化建设，打造“智慧执法”</w:t>
            </w:r>
          </w:p>
        </w:tc>
        <w:tc>
          <w:tcPr>
            <w:tcW w:w="4111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充分利用执法指挥调度平台，使用信息化手段，实时调度、监控执法人员。推广“慧执法”现场检查系统和“慧执法”执法办案系统，做到公开执法、严格执法、文明执法、留痕执法、线上办案、规范办案。</w:t>
            </w:r>
          </w:p>
        </w:tc>
        <w:tc>
          <w:tcPr>
            <w:tcW w:w="3118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到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2</w:t>
            </w:r>
            <w:r>
              <w:rPr>
                <w:rFonts w:eastAsia="方正仿宋_GBK" w:cs="方正仿宋_GBK"/>
                <w:sz w:val="24"/>
                <w:szCs w:val="24"/>
              </w:rPr>
              <w:t>024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年，实现“智慧执法”。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宋国荣</w:t>
            </w:r>
          </w:p>
        </w:tc>
        <w:tc>
          <w:tcPr>
            <w:tcW w:w="1267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县农业综合行政执法支队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45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Times New Roman"/>
                <w:sz w:val="24"/>
                <w:szCs w:val="24"/>
              </w:rPr>
              <w:t>3</w:t>
            </w:r>
            <w:r>
              <w:rPr>
                <w:rFonts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楷体_GBK" w:hAnsi="方正楷体_GBK" w:eastAsia="方正楷体_GBK" w:cs="方正仿宋_GBK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突出办案能力建设，打造“专业队伍”</w:t>
            </w:r>
          </w:p>
        </w:tc>
        <w:tc>
          <w:tcPr>
            <w:tcW w:w="4111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全面落实行政执法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三项制度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，建立健全涉企行政执法检查制度、检查审批登记制度，制定健全以“双随机、一公开”监管为原则、以重点监管为补充、以信用监管为基础的行政执法监督机制，推进行政执法与刑事司法衔接。开展“法治大讲坛”，领导班子带头讲、中层干部主要讲，每月开展两次集中学习活动，提高案件办理能力和案卷制作水平，培养“一专多能、通专结合”的综合执法人才。加大办案力度，探</w:t>
            </w:r>
            <w:bookmarkStart w:id="156" w:name="_GoBack"/>
            <w:bookmarkEnd w:id="156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索建立执法办案成效指标评价体系，公布有影响力、有震慑力的典型案例。成立案审委员会，开展常态化案件评查，分年度评选优秀案卷和文书。</w:t>
            </w:r>
          </w:p>
        </w:tc>
        <w:tc>
          <w:tcPr>
            <w:tcW w:w="3118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到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年，实现案件查处率和准确率“双一百”，实现农业综合行政执法工作、农业综合行政执法队伍“两个健康”发展。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宋国荣</w:t>
            </w:r>
          </w:p>
        </w:tc>
        <w:tc>
          <w:tcPr>
            <w:tcW w:w="1267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县农业综合行政执法支队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460" w:type="dxa"/>
            <w:gridSpan w:val="7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黑体_GBK" w:hAnsi="方正黑体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仿宋_GBK"/>
                <w:sz w:val="24"/>
                <w:szCs w:val="24"/>
              </w:rPr>
              <w:t>四、围绕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“</w:t>
            </w:r>
            <w:r>
              <w:rPr>
                <w:rFonts w:hint="eastAsia" w:ascii="方正黑体_GBK" w:hAnsi="方正黑体_GBK" w:eastAsia="方正黑体_GBK" w:cs="方正仿宋_GBK"/>
                <w:sz w:val="24"/>
                <w:szCs w:val="24"/>
              </w:rPr>
              <w:t>统筹性工作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”</w:t>
            </w:r>
            <w:r>
              <w:rPr>
                <w:rFonts w:hint="eastAsia" w:ascii="方正黑体_GBK" w:hAnsi="方正黑体_GBK" w:eastAsia="方正黑体_GBK" w:cs="方正仿宋_GBK"/>
                <w:sz w:val="24"/>
                <w:szCs w:val="24"/>
              </w:rPr>
              <w:t>，实施美丽文明乡村建设行动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45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Times New Roman"/>
                <w:sz w:val="24"/>
                <w:szCs w:val="24"/>
              </w:rPr>
              <w:t>3</w:t>
            </w:r>
            <w:r>
              <w:rPr>
                <w:rFonts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  <w:vMerge w:val="restar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楷体_GBK" w:hAnsi="方正楷体_GBK" w:eastAsia="方正楷体_GBK" w:cs="方正仿宋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仿宋_GBK"/>
                <w:sz w:val="24"/>
                <w:szCs w:val="24"/>
              </w:rPr>
              <w:t>统筹实施农村人居环境整治五年提升行动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切实履行牵头抓总职责</w:t>
            </w:r>
          </w:p>
        </w:tc>
        <w:tc>
          <w:tcPr>
            <w:tcW w:w="4111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对照农村人居环境整治五年提升行动计划，明确年度目标任务，制定工作推进计划，定期召开联席会，统筹协调全面推进。加强农村人居环境整治宣传动员，扎实开展村庄清洁行动春夏秋冬“四季战役”。</w:t>
            </w:r>
          </w:p>
        </w:tc>
        <w:tc>
          <w:tcPr>
            <w:tcW w:w="3118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到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，农村卫生厕所更加普及，农村生活污水实现分类整治，农村生活垃圾无害化处理水平明显提升，农村基础设施布局更加优化，村容村貌进一步提升，长效管护机制进一步完善，彻底解决农村“脏乱差”易反弹的问题，进一步营造干净、整洁、有序的美丽宜居乡村环境。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吴平</w:t>
            </w:r>
          </w:p>
        </w:tc>
        <w:tc>
          <w:tcPr>
            <w:tcW w:w="1267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生态环保科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45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Times New Roman"/>
                <w:sz w:val="24"/>
                <w:szCs w:val="24"/>
              </w:rPr>
              <w:t>3</w:t>
            </w:r>
            <w:r>
              <w:rPr>
                <w:rFonts w:eastAsia="方正仿宋_GBK" w:cs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楷体_GBK" w:hAnsi="方正楷体_GBK" w:eastAsia="方正楷体_GBK" w:cs="方正仿宋_GBK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推进农村厕所革命</w:t>
            </w:r>
          </w:p>
        </w:tc>
        <w:tc>
          <w:tcPr>
            <w:tcW w:w="4111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严格三格式无害化卫生标准，落实“首村首厕”过关制。</w:t>
            </w:r>
          </w:p>
        </w:tc>
        <w:tc>
          <w:tcPr>
            <w:tcW w:w="3118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每年向市级争取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3000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户改厕任务。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吴平</w:t>
            </w:r>
          </w:p>
        </w:tc>
        <w:tc>
          <w:tcPr>
            <w:tcW w:w="1267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生态环保科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45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Times New Roman"/>
                <w:sz w:val="24"/>
                <w:szCs w:val="24"/>
              </w:rPr>
              <w:t>3</w:t>
            </w:r>
            <w:r>
              <w:rPr>
                <w:rFonts w:eastAsia="方正仿宋_GBK" w:cs="Times New Roman"/>
                <w:sz w:val="24"/>
                <w:szCs w:val="24"/>
              </w:rPr>
              <w:t>6</w:t>
            </w: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楷体_GBK" w:hAnsi="方正楷体_GBK" w:eastAsia="方正楷体_GBK" w:cs="方正仿宋_GBK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Times New Roman"/>
                <w:sz w:val="24"/>
                <w:szCs w:val="24"/>
              </w:rPr>
              <w:t>清理</w:t>
            </w:r>
            <w:r>
              <w:rPr>
                <w:rFonts w:ascii="方正仿宋_GBK" w:hAnsi="方正仿宋_GBK" w:eastAsia="方正仿宋_GBK" w:cs="Times New Roman"/>
                <w:kern w:val="0"/>
                <w:sz w:val="24"/>
                <w:szCs w:val="24"/>
                <w:lang w:bidi="ar"/>
              </w:rPr>
              <w:t>整治</w:t>
            </w:r>
            <w:bookmarkStart w:id="154" w:name="OLE_LINK122"/>
            <w:r>
              <w:rPr>
                <w:rFonts w:ascii="方正仿宋_GBK" w:hAnsi="方正仿宋_GBK" w:eastAsia="方正仿宋_GBK" w:cs="Times New Roman"/>
                <w:kern w:val="0"/>
                <w:sz w:val="24"/>
                <w:szCs w:val="24"/>
                <w:lang w:bidi="ar"/>
              </w:rPr>
              <w:t>无人居住废旧房</w:t>
            </w:r>
            <w:bookmarkEnd w:id="154"/>
          </w:p>
        </w:tc>
        <w:tc>
          <w:tcPr>
            <w:tcW w:w="4111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开展无人居住废旧房摸排及认定，归整为主、拆除为辅。</w:t>
            </w:r>
          </w:p>
        </w:tc>
        <w:tc>
          <w:tcPr>
            <w:tcW w:w="3118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到</w:t>
            </w:r>
            <w:r>
              <w:rPr>
                <w:rFonts w:eastAsia="方正仿宋_GBK" w:cs="Times New Roman"/>
                <w:sz w:val="24"/>
                <w:szCs w:val="24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年，实现无人居住废旧房分类有效整治。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吴平</w:t>
            </w:r>
          </w:p>
        </w:tc>
        <w:tc>
          <w:tcPr>
            <w:tcW w:w="1267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生态环保科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45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Times New Roman"/>
                <w:sz w:val="24"/>
                <w:szCs w:val="24"/>
              </w:rPr>
              <w:t>3</w:t>
            </w:r>
            <w:r>
              <w:rPr>
                <w:rFonts w:eastAsia="方正仿宋_GBK" w:cs="Times New Roman"/>
                <w:sz w:val="24"/>
                <w:szCs w:val="24"/>
              </w:rPr>
              <w:t>7</w:t>
            </w: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楷体_GBK" w:hAnsi="方正楷体_GBK" w:eastAsia="方正楷体_GBK" w:cs="方正仿宋_GBK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Times New Roman"/>
                <w:kern w:val="0"/>
                <w:sz w:val="24"/>
                <w:szCs w:val="24"/>
                <w:lang w:bidi="ar"/>
              </w:rPr>
              <w:t>开展“千村宜居”创建活动</w:t>
            </w:r>
          </w:p>
        </w:tc>
        <w:tc>
          <w:tcPr>
            <w:tcW w:w="4111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Times New Roman"/>
                <w:sz w:val="24"/>
                <w:szCs w:val="24"/>
              </w:rPr>
              <w:t>以打造“小组团、微田园、生态化、有特色”的人居环境为目标，结合全域规划和乡村布局规划，统筹整合相关资源要素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，大力开展“千村宜居”创建活动</w:t>
            </w:r>
          </w:p>
        </w:tc>
        <w:tc>
          <w:tcPr>
            <w:tcW w:w="3118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到</w:t>
            </w:r>
            <w:r>
              <w:rPr>
                <w:rFonts w:eastAsia="方正仿宋_GBK" w:cs="Times New Roman"/>
                <w:sz w:val="24"/>
                <w:szCs w:val="24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年，</w:t>
            </w:r>
            <w:r>
              <w:rPr>
                <w:rFonts w:ascii="方正仿宋_GBK" w:hAnsi="方正仿宋_GBK" w:eastAsia="方正仿宋_GBK" w:cs="Times New Roman"/>
                <w:sz w:val="24"/>
                <w:szCs w:val="24"/>
              </w:rPr>
              <w:t>巩固已建成的</w:t>
            </w:r>
            <w:r>
              <w:rPr>
                <w:rFonts w:eastAsia="方正仿宋_GBK" w:cs="Times New Roman"/>
                <w:sz w:val="24"/>
                <w:szCs w:val="24"/>
              </w:rPr>
              <w:t>30</w:t>
            </w:r>
            <w:r>
              <w:rPr>
                <w:rFonts w:ascii="方正仿宋_GBK" w:hAnsi="方正仿宋_GBK" w:eastAsia="方正仿宋_GBK" w:cs="Times New Roman"/>
                <w:sz w:val="24"/>
                <w:szCs w:val="24"/>
              </w:rPr>
              <w:t>个美丽宜居乡村，新建</w:t>
            </w:r>
            <w:r>
              <w:rPr>
                <w:rFonts w:eastAsia="方正仿宋_GBK" w:cs="Times New Roman"/>
                <w:sz w:val="24"/>
                <w:szCs w:val="24"/>
              </w:rPr>
              <w:t>50</w:t>
            </w:r>
            <w:r>
              <w:rPr>
                <w:rFonts w:ascii="方正仿宋_GBK" w:hAnsi="方正仿宋_GBK" w:eastAsia="方正仿宋_GBK" w:cs="Times New Roman"/>
                <w:sz w:val="24"/>
                <w:szCs w:val="24"/>
              </w:rPr>
              <w:t>个美丽宜居乡村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吴平</w:t>
            </w:r>
          </w:p>
        </w:tc>
        <w:tc>
          <w:tcPr>
            <w:tcW w:w="1267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生态环保科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45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Times New Roman"/>
                <w:sz w:val="24"/>
                <w:szCs w:val="24"/>
              </w:rPr>
              <w:t>3</w:t>
            </w:r>
            <w:r>
              <w:rPr>
                <w:rFonts w:eastAsia="方正仿宋_GBK" w:cs="Times New Roman"/>
                <w:sz w:val="24"/>
                <w:szCs w:val="24"/>
              </w:rPr>
              <w:t>8</w:t>
            </w:r>
          </w:p>
        </w:tc>
        <w:tc>
          <w:tcPr>
            <w:tcW w:w="815" w:type="dxa"/>
            <w:vMerge w:val="restar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楷体_GBK" w:hAnsi="方正楷体_GBK" w:eastAsia="方正楷体_GBK" w:cs="方正仿宋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Times New Roman"/>
                <w:sz w:val="24"/>
                <w:szCs w:val="24"/>
              </w:rPr>
              <w:t>统筹开展通道环境综合整治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开展道路沿线综合整治</w:t>
            </w:r>
          </w:p>
        </w:tc>
        <w:tc>
          <w:tcPr>
            <w:tcW w:w="4111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结合村庄清洁行动，以“五清理一活动”为基础，以乡镇（街道）为单位，按道路等级排序组织开展通道环境综合整治，统筹协调各牵头部门，推进道路沿线危房旧房、生活垃圾、生活污水等的治理。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Arial"/>
                <w:color w:val="000000"/>
                <w:sz w:val="24"/>
                <w:szCs w:val="24"/>
              </w:rPr>
              <w:t>到</w:t>
            </w:r>
            <w:r>
              <w:rPr>
                <w:rFonts w:hint="eastAsia" w:eastAsia="方正仿宋_GBK" w:cs="Arial"/>
                <w:color w:val="000000"/>
                <w:sz w:val="24"/>
                <w:szCs w:val="24"/>
              </w:rPr>
              <w:t>2</w:t>
            </w:r>
            <w:r>
              <w:rPr>
                <w:rFonts w:eastAsia="方正仿宋_GBK" w:cs="Arial"/>
                <w:color w:val="000000"/>
                <w:sz w:val="24"/>
                <w:szCs w:val="24"/>
              </w:rPr>
              <w:t>024</w:t>
            </w:r>
            <w:r>
              <w:rPr>
                <w:rFonts w:hint="eastAsia" w:ascii="方正仿宋_GBK" w:hAnsi="方正仿宋_GBK" w:eastAsia="方正仿宋_GBK" w:cs="Arial"/>
                <w:color w:val="000000"/>
                <w:sz w:val="24"/>
                <w:szCs w:val="24"/>
              </w:rPr>
              <w:t>年，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全县高铁、高速、国省县乡道沿线环境均实现干净、整洁、有序目标任务。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吴平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生态环保科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45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Times New Roman"/>
                <w:sz w:val="24"/>
                <w:szCs w:val="24"/>
              </w:rPr>
              <w:t>3</w:t>
            </w:r>
            <w:r>
              <w:rPr>
                <w:rFonts w:eastAsia="方正仿宋_GBK" w:cs="Times New Roman"/>
                <w:sz w:val="24"/>
                <w:szCs w:val="24"/>
              </w:rPr>
              <w:t>9</w:t>
            </w: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楷体_GBK" w:hAnsi="方正楷体_GBK" w:eastAsia="方正楷体_GBK" w:cs="方正仿宋_GBK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开展沿线环境美化</w:t>
            </w:r>
          </w:p>
        </w:tc>
        <w:tc>
          <w:tcPr>
            <w:tcW w:w="4111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对通道沿线临路农户，通过微整形，打造庭院小花园进行美化；针对农户两侧空地和裸露荒地，因地制宜发展果园菜园，建设堡坎围栏，对现有菜园地进行规范种植；针对可视范围内的经果林通过补植的手段接断带，针对耕地要确保粮食种足种满不撂荒。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45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Times New Roman"/>
                <w:sz w:val="24"/>
                <w:szCs w:val="24"/>
              </w:rPr>
              <w:t>4</w:t>
            </w:r>
            <w:r>
              <w:rPr>
                <w:rFonts w:eastAsia="方正仿宋_GBK" w:cs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  <w:vMerge w:val="restar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楷体_GBK" w:hAnsi="方正楷体_GBK" w:eastAsia="方正楷体_GBK" w:cs="方正仿宋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Times New Roman"/>
                <w:sz w:val="24"/>
                <w:szCs w:val="24"/>
              </w:rPr>
              <w:t>全面推行乡风文明建设积分制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强化统筹协调</w:t>
            </w:r>
          </w:p>
        </w:tc>
        <w:tc>
          <w:tcPr>
            <w:tcW w:w="4111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对照</w:t>
            </w:r>
            <w:r>
              <w:rPr>
                <w:rFonts w:ascii="方正仿宋_GBK" w:hAnsi="方正仿宋_GBK" w:eastAsia="方正仿宋_GBK" w:cs="Times New Roman"/>
                <w:sz w:val="24"/>
                <w:szCs w:val="24"/>
              </w:rPr>
              <w:t>《云阳县全面推行乡风文明建设积分制实施方案》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，明确目标任务，制定工作推进</w:t>
            </w:r>
            <w:r>
              <w:rPr>
                <w:rFonts w:ascii="方正仿宋_GBK" w:hAnsi="方正仿宋_GBK" w:eastAsia="方正仿宋_GBK" w:cs="Times New Roman"/>
                <w:sz w:val="24"/>
                <w:szCs w:val="24"/>
              </w:rPr>
              <w:t>计划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，定期召开联席会，</w:t>
            </w:r>
            <w:r>
              <w:rPr>
                <w:rFonts w:ascii="方正仿宋_GBK" w:hAnsi="方正仿宋_GBK" w:eastAsia="方正仿宋_GBK" w:cs="Times New Roman"/>
                <w:sz w:val="24"/>
                <w:szCs w:val="24"/>
              </w:rPr>
              <w:t>统筹协调县级各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牵头单位和</w:t>
            </w:r>
            <w:r>
              <w:rPr>
                <w:rFonts w:ascii="方正仿宋_GBK" w:hAnsi="方正仿宋_GBK" w:eastAsia="方正仿宋_GBK" w:cs="Times New Roman"/>
                <w:sz w:val="24"/>
                <w:szCs w:val="24"/>
              </w:rPr>
              <w:t>帮扶单位从财力、物力等方面协助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乡镇（街道）</w:t>
            </w:r>
            <w:r>
              <w:rPr>
                <w:rFonts w:ascii="方正仿宋_GBK" w:hAnsi="方正仿宋_GBK" w:eastAsia="方正仿宋_GBK" w:cs="Times New Roman"/>
                <w:sz w:val="24"/>
                <w:szCs w:val="24"/>
              </w:rPr>
              <w:t>抓好乡风文明建设积分制工作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。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到</w:t>
            </w:r>
            <w:r>
              <w:rPr>
                <w:rFonts w:hint="eastAsia" w:eastAsia="方正仿宋_GBK" w:cs="Times New Roman"/>
                <w:sz w:val="24"/>
                <w:szCs w:val="24"/>
              </w:rPr>
              <w:t>2024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年，</w:t>
            </w:r>
            <w:r>
              <w:rPr>
                <w:rFonts w:ascii="方正仿宋_GBK" w:hAnsi="方正仿宋_GBK" w:eastAsia="方正仿宋_GBK" w:cs="Times New Roman"/>
                <w:sz w:val="24"/>
                <w:szCs w:val="24"/>
              </w:rPr>
              <w:t>通过开展乡风文明建设积分制，推动全县乡风文明水平显著提升、农村人居环境持续改善、乡村产业可持续发展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。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吴平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生态环保科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45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4</w:t>
            </w:r>
            <w:r>
              <w:rPr>
                <w:rFonts w:eastAsia="宋体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宋体" w:cs="方正仿宋_GBK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强化资金监管</w:t>
            </w:r>
          </w:p>
        </w:tc>
        <w:tc>
          <w:tcPr>
            <w:tcW w:w="4111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hAnsi="方正仿宋_GBK" w:eastAsia="方正仿宋_GBK" w:cs="Times New Roman"/>
                <w:sz w:val="24"/>
                <w:szCs w:val="24"/>
              </w:rPr>
              <w:t>加强乡风文明建设积分兑换活动资金监督检查，防止挤占挪用资金。要坚持实事求是，严格按照要求组织开展活动，严禁搞平均主义或直接发放现金物品。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rPr>
                <w:rFonts w:eastAsia="宋体" w:cs="方正仿宋_GBK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宋体" w:cs="方正仿宋_GBK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宋体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45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4</w:t>
            </w:r>
            <w:r>
              <w:rPr>
                <w:rFonts w:eastAsia="宋体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宋体" w:cs="方正仿宋_GBK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强化宣传发动</w:t>
            </w:r>
          </w:p>
        </w:tc>
        <w:tc>
          <w:tcPr>
            <w:tcW w:w="4111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方正仿宋_GBK" w:hAns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hAnsi="方正仿宋_GBK" w:eastAsia="方正仿宋_GBK" w:cs="Times New Roman"/>
                <w:sz w:val="24"/>
                <w:szCs w:val="24"/>
              </w:rPr>
              <w:t>充分利用报刊、电视、网络、广播、微信、微博等媒介，采取农民喜闻乐见的方式，选择群众满意、社会认可的正面典型案例作深度报道，推广好经验、好做法，广泛宣传乡风文明建设积分制活动，发动群众积极参与</w:t>
            </w:r>
            <w:r>
              <w:rPr>
                <w:rFonts w:hint="eastAsia" w:ascii="方正仿宋_GBK" w:hAnsi="方正仿宋_GBK" w:eastAsia="方正仿宋_GBK" w:cs="Times New Roman"/>
                <w:sz w:val="24"/>
                <w:szCs w:val="24"/>
              </w:rPr>
              <w:t>。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rPr>
                <w:rFonts w:eastAsia="宋体" w:cs="方正仿宋_GBK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宋体" w:cs="方正仿宋_GBK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宋体" w:cs="方正仿宋_GBK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ind w:firstLine="280" w:firstLineChars="100"/>
        <w:jc w:val="left"/>
        <w:rPr>
          <w:sz w:val="28"/>
          <w:szCs w:val="28"/>
        </w:rPr>
      </w:pPr>
    </w:p>
    <w:p>
      <w:pPr>
        <w:adjustRightInd w:val="0"/>
        <w:snapToGrid w:val="0"/>
        <w:ind w:firstLine="280" w:firstLineChars="100"/>
        <w:jc w:val="left"/>
        <w:rPr>
          <w:sz w:val="28"/>
          <w:szCs w:val="28"/>
        </w:rPr>
        <w:sectPr>
          <w:pgSz w:w="16838" w:h="11906" w:orient="landscape"/>
          <w:pgMar w:top="1531" w:right="2098" w:bottom="1531" w:left="1985" w:header="851" w:footer="1474" w:gutter="0"/>
          <w:cols w:space="425" w:num="1"/>
          <w:docGrid w:type="linesAndChars" w:linePitch="435" w:charSpace="0"/>
        </w:sectPr>
      </w:pPr>
    </w:p>
    <w:p>
      <w:pPr>
        <w:adjustRightInd w:val="0"/>
        <w:snapToGrid w:val="0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（此页无正文）</w:t>
      </w:r>
    </w:p>
    <w:p>
      <w:pPr>
        <w:adjustRightInd w:val="0"/>
        <w:snapToGrid w:val="0"/>
        <w:ind w:firstLine="280" w:firstLineChars="100"/>
        <w:jc w:val="left"/>
        <w:rPr>
          <w:sz w:val="28"/>
          <w:szCs w:val="28"/>
        </w:rPr>
      </w:pPr>
    </w:p>
    <w:p>
      <w:pPr>
        <w:adjustRightInd w:val="0"/>
        <w:snapToGrid w:val="0"/>
        <w:ind w:firstLine="280" w:firstLineChars="100"/>
        <w:jc w:val="left"/>
        <w:rPr>
          <w:sz w:val="28"/>
          <w:szCs w:val="28"/>
        </w:rPr>
      </w:pPr>
    </w:p>
    <w:p>
      <w:pPr>
        <w:adjustRightInd w:val="0"/>
        <w:snapToGrid w:val="0"/>
        <w:jc w:val="left"/>
        <w:rPr>
          <w:sz w:val="28"/>
          <w:szCs w:val="28"/>
        </w:rPr>
      </w:pPr>
    </w:p>
    <w:p>
      <w:pPr>
        <w:adjustRightInd w:val="0"/>
        <w:snapToGrid w:val="0"/>
        <w:ind w:firstLine="280" w:firstLineChars="100"/>
        <w:jc w:val="left"/>
        <w:rPr>
          <w:sz w:val="28"/>
          <w:szCs w:val="28"/>
        </w:rPr>
      </w:pPr>
    </w:p>
    <w:p>
      <w:pPr>
        <w:adjustRightInd w:val="0"/>
        <w:snapToGrid w:val="0"/>
        <w:ind w:firstLine="280" w:firstLineChars="100"/>
        <w:jc w:val="left"/>
        <w:rPr>
          <w:sz w:val="28"/>
          <w:szCs w:val="28"/>
        </w:rPr>
      </w:pPr>
    </w:p>
    <w:p>
      <w:pPr>
        <w:adjustRightInd w:val="0"/>
        <w:snapToGrid w:val="0"/>
        <w:ind w:firstLine="280" w:firstLineChars="100"/>
        <w:jc w:val="left"/>
        <w:rPr>
          <w:sz w:val="28"/>
          <w:szCs w:val="28"/>
        </w:rPr>
      </w:pPr>
    </w:p>
    <w:p>
      <w:pPr>
        <w:adjustRightInd w:val="0"/>
        <w:snapToGrid w:val="0"/>
        <w:ind w:firstLine="280" w:firstLineChars="100"/>
        <w:jc w:val="left"/>
        <w:rPr>
          <w:sz w:val="28"/>
          <w:szCs w:val="28"/>
        </w:rPr>
      </w:pPr>
    </w:p>
    <w:p>
      <w:pPr>
        <w:adjustRightInd w:val="0"/>
        <w:snapToGrid w:val="0"/>
        <w:ind w:firstLine="280" w:firstLineChars="100"/>
        <w:jc w:val="left"/>
        <w:rPr>
          <w:sz w:val="28"/>
          <w:szCs w:val="28"/>
        </w:rPr>
      </w:pPr>
    </w:p>
    <w:p>
      <w:pPr>
        <w:adjustRightInd w:val="0"/>
        <w:snapToGrid w:val="0"/>
        <w:ind w:firstLine="280" w:firstLineChars="100"/>
        <w:jc w:val="left"/>
        <w:rPr>
          <w:sz w:val="28"/>
          <w:szCs w:val="28"/>
        </w:rPr>
      </w:pPr>
    </w:p>
    <w:p>
      <w:pPr>
        <w:adjustRightInd w:val="0"/>
        <w:snapToGrid w:val="0"/>
        <w:ind w:firstLine="280" w:firstLineChars="100"/>
        <w:jc w:val="left"/>
        <w:rPr>
          <w:sz w:val="28"/>
          <w:szCs w:val="28"/>
        </w:rPr>
      </w:pPr>
    </w:p>
    <w:p>
      <w:pPr>
        <w:adjustRightInd w:val="0"/>
        <w:snapToGrid w:val="0"/>
        <w:ind w:firstLine="280" w:firstLineChars="100"/>
        <w:jc w:val="left"/>
        <w:rPr>
          <w:sz w:val="28"/>
          <w:szCs w:val="28"/>
        </w:rPr>
      </w:pPr>
    </w:p>
    <w:p>
      <w:pPr>
        <w:adjustRightInd w:val="0"/>
        <w:snapToGrid w:val="0"/>
        <w:ind w:firstLine="280" w:firstLineChars="100"/>
        <w:jc w:val="left"/>
        <w:rPr>
          <w:sz w:val="28"/>
          <w:szCs w:val="28"/>
        </w:rPr>
      </w:pPr>
    </w:p>
    <w:p>
      <w:pPr>
        <w:adjustRightInd w:val="0"/>
        <w:snapToGrid w:val="0"/>
        <w:ind w:left="0" w:leftChars="0" w:firstLine="0" w:firstLineChars="0"/>
        <w:jc w:val="left"/>
        <w:rPr>
          <w:sz w:val="28"/>
          <w:szCs w:val="28"/>
        </w:rPr>
      </w:pPr>
    </w:p>
    <w:p>
      <w:pPr>
        <w:adjustRightInd w:val="0"/>
        <w:snapToGrid w:val="0"/>
        <w:ind w:firstLine="280" w:firstLineChars="100"/>
        <w:jc w:val="left"/>
        <w:rPr>
          <w:sz w:val="28"/>
          <w:szCs w:val="28"/>
        </w:rPr>
      </w:pPr>
    </w:p>
    <w:p>
      <w:pPr>
        <w:adjustRightInd w:val="0"/>
        <w:snapToGrid w:val="0"/>
        <w:ind w:firstLine="280" w:firstLineChars="100"/>
        <w:jc w:val="left"/>
        <w:rPr>
          <w:sz w:val="28"/>
          <w:szCs w:val="28"/>
        </w:rPr>
      </w:pPr>
    </w:p>
    <w:p>
      <w:pPr>
        <w:adjustRightInd w:val="0"/>
        <w:snapToGrid w:val="0"/>
        <w:ind w:firstLine="280" w:firstLineChars="100"/>
        <w:jc w:val="left"/>
        <w:rPr>
          <w:sz w:val="28"/>
          <w:szCs w:val="28"/>
        </w:rPr>
      </w:pPr>
    </w:p>
    <w:p>
      <w:pPr>
        <w:adjustRightInd w:val="0"/>
        <w:snapToGrid w:val="0"/>
        <w:ind w:firstLine="280" w:firstLineChars="100"/>
        <w:jc w:val="left"/>
        <w:rPr>
          <w:sz w:val="28"/>
          <w:szCs w:val="28"/>
        </w:rPr>
      </w:pPr>
    </w:p>
    <w:p>
      <w:pPr>
        <w:pBdr>
          <w:top w:val="single" w:color="auto" w:sz="12" w:space="1"/>
        </w:pBdr>
        <w:adjustRightInd w:val="0"/>
        <w:snapToGrid w:val="0"/>
        <w:ind w:firstLine="280" w:firstLineChars="100"/>
        <w:jc w:val="left"/>
        <w:rPr>
          <w:sz w:val="28"/>
          <w:szCs w:val="28"/>
        </w:rPr>
      </w:pPr>
      <w:bookmarkStart w:id="155" w:name="OLE_LINK158"/>
      <w:r>
        <w:rPr>
          <w:rFonts w:hint="eastAsia"/>
          <w:sz w:val="28"/>
          <w:szCs w:val="28"/>
        </w:rPr>
        <w:t>抄送：县委办公室，县人大常委会办公室，县政府办公室，县政协办</w:t>
      </w:r>
    </w:p>
    <w:p>
      <w:pPr>
        <w:pBdr>
          <w:top w:val="single" w:color="auto" w:sz="12" w:space="1"/>
        </w:pBdr>
        <w:adjustRightInd w:val="0"/>
        <w:snapToGrid w:val="0"/>
        <w:ind w:firstLine="1072" w:firstLineChars="400"/>
        <w:jc w:val="left"/>
        <w:rPr>
          <w:bCs/>
          <w:spacing w:val="-6"/>
          <w:sz w:val="28"/>
          <w:szCs w:val="28"/>
        </w:rPr>
      </w:pPr>
      <w:r>
        <w:rPr>
          <w:rFonts w:hint="eastAsia"/>
          <w:spacing w:val="-6"/>
          <w:sz w:val="28"/>
          <w:szCs w:val="28"/>
        </w:rPr>
        <w:t>公室，各乡镇人民政府、街道办事处，县政府各部门，有关单位。</w:t>
      </w:r>
    </w:p>
    <w:p>
      <w:pPr>
        <w:pBdr>
          <w:top w:val="single" w:color="auto" w:sz="8" w:space="1"/>
          <w:bottom w:val="single" w:color="auto" w:sz="12" w:space="1"/>
          <w:between w:val="single" w:color="auto" w:sz="8" w:space="1"/>
        </w:pBd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云阳县农业农村委员会办公室</w:t>
      </w:r>
      <w:r>
        <w:rPr>
          <w:sz w:val="28"/>
          <w:szCs w:val="28"/>
        </w:rPr>
        <w:t xml:space="preserve">                             2022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17</w:t>
      </w:r>
      <w:r>
        <w:rPr>
          <w:rFonts w:hint="eastAsia"/>
          <w:sz w:val="28"/>
          <w:szCs w:val="28"/>
        </w:rPr>
        <w:t>日印发</w:t>
      </w:r>
      <w:bookmarkEnd w:id="155"/>
    </w:p>
    <w:sectPr>
      <w:pgSz w:w="11906" w:h="16838"/>
      <w:pgMar w:top="2098" w:right="1531" w:bottom="1985" w:left="1531" w:header="851" w:footer="1474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粗宋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</w:rPr>
      <w:id w:val="-288592108"/>
    </w:sdtPr>
    <w:sdtEndPr>
      <w:rPr>
        <w:rFonts w:ascii="宋体" w:hAnsi="宋体"/>
        <w:sz w:val="28"/>
      </w:rPr>
    </w:sdtEndPr>
    <w:sdtContent>
      <w:p>
        <w:pPr>
          <w:pStyle w:val="3"/>
          <w:spacing w:line="240" w:lineRule="auto"/>
          <w:ind w:right="320" w:rightChars="100" w:firstLine="0" w:firstLineChars="0"/>
          <w:jc w:val="right"/>
          <w:rPr>
            <w:rFonts w:ascii="宋体" w:hAnsi="宋体"/>
            <w:sz w:val="28"/>
          </w:rPr>
        </w:pPr>
        <w:r>
          <w:rPr>
            <w:rFonts w:ascii="宋体" w:hAnsi="宋体"/>
            <w:sz w:val="28"/>
          </w:rPr>
          <w:t xml:space="preserve">— </w:t>
        </w:r>
        <w:r>
          <w:rPr>
            <w:rFonts w:ascii="宋体" w:hAnsi="宋体"/>
            <w:sz w:val="28"/>
          </w:rPr>
          <w:fldChar w:fldCharType="begin"/>
        </w:r>
        <w:r>
          <w:rPr>
            <w:rFonts w:ascii="宋体" w:hAnsi="宋体"/>
            <w:sz w:val="28"/>
          </w:rPr>
          <w:instrText xml:space="preserve">PAGE   \* MERGEFORMAT</w:instrText>
        </w:r>
        <w:r>
          <w:rPr>
            <w:rFonts w:ascii="宋体" w:hAnsi="宋体"/>
            <w:sz w:val="28"/>
          </w:rPr>
          <w:fldChar w:fldCharType="separate"/>
        </w:r>
        <w:r>
          <w:rPr>
            <w:sz w:val="28"/>
            <w:lang w:val="zh-CN"/>
          </w:rPr>
          <w:t>27</w:t>
        </w:r>
        <w:r>
          <w:rPr>
            <w:rFonts w:ascii="宋体" w:hAnsi="宋体"/>
            <w:sz w:val="28"/>
          </w:rPr>
          <w:fldChar w:fldCharType="end"/>
        </w:r>
        <w:r>
          <w:rPr>
            <w:rFonts w:ascii="宋体" w:hAnsi="宋体"/>
            <w:sz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auto"/>
      <w:ind w:left="320" w:leftChars="100" w:firstLine="0" w:firstLineChars="0"/>
      <w:rPr>
        <w:rFonts w:ascii="宋体" w:hAnsi="宋体"/>
        <w:sz w:val="28"/>
      </w:rPr>
    </w:pPr>
    <w:r>
      <w:rPr>
        <w:rFonts w:ascii="宋体" w:hAnsi="宋体"/>
        <w:sz w:val="28"/>
      </w:rPr>
      <w:t xml:space="preserve">— </w:t>
    </w:r>
    <w:sdt>
      <w:sdtPr>
        <w:rPr>
          <w:rFonts w:ascii="宋体" w:hAnsi="宋体"/>
          <w:sz w:val="28"/>
        </w:rPr>
        <w:id w:val="-2017680222"/>
      </w:sdtPr>
      <w:sdtEndPr>
        <w:rPr>
          <w:rFonts w:ascii="宋体" w:hAnsi="宋体"/>
          <w:sz w:val="28"/>
        </w:rPr>
      </w:sdtEndPr>
      <w:sdtContent>
        <w:r>
          <w:rPr>
            <w:rFonts w:ascii="宋体" w:hAnsi="宋体"/>
            <w:sz w:val="28"/>
          </w:rPr>
          <w:fldChar w:fldCharType="begin"/>
        </w:r>
        <w:r>
          <w:rPr>
            <w:rFonts w:ascii="宋体" w:hAnsi="宋体"/>
            <w:sz w:val="28"/>
          </w:rPr>
          <w:instrText xml:space="preserve">PAGE   \* MERGEFORMAT</w:instrText>
        </w:r>
        <w:r>
          <w:rPr>
            <w:rFonts w:ascii="宋体" w:hAnsi="宋体"/>
            <w:sz w:val="28"/>
          </w:rPr>
          <w:fldChar w:fldCharType="separate"/>
        </w:r>
        <w:r>
          <w:rPr>
            <w:sz w:val="28"/>
            <w:lang w:val="zh-CN"/>
          </w:rPr>
          <w:t>26</w:t>
        </w:r>
        <w:r>
          <w:rPr>
            <w:rFonts w:ascii="宋体" w:hAnsi="宋体"/>
            <w:sz w:val="28"/>
          </w:rPr>
          <w:fldChar w:fldCharType="end"/>
        </w:r>
        <w:r>
          <w:rPr>
            <w:rFonts w:ascii="宋体" w:hAnsi="宋体"/>
            <w:sz w:val="28"/>
          </w:rPr>
          <w:t xml:space="preserve"> —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MzczNjYwNDE0NzBiMWVkYjViMzkzYzAyODdmZjEifQ=="/>
  </w:docVars>
  <w:rsids>
    <w:rsidRoot w:val="003B3F91"/>
    <w:rsid w:val="00001067"/>
    <w:rsid w:val="000016C2"/>
    <w:rsid w:val="00005466"/>
    <w:rsid w:val="000118C8"/>
    <w:rsid w:val="00017472"/>
    <w:rsid w:val="00021813"/>
    <w:rsid w:val="00027595"/>
    <w:rsid w:val="00034B0D"/>
    <w:rsid w:val="0003703E"/>
    <w:rsid w:val="00041B64"/>
    <w:rsid w:val="0005398A"/>
    <w:rsid w:val="00060945"/>
    <w:rsid w:val="00061ABF"/>
    <w:rsid w:val="000670FE"/>
    <w:rsid w:val="000730C1"/>
    <w:rsid w:val="00084ABF"/>
    <w:rsid w:val="0008632E"/>
    <w:rsid w:val="00086B4E"/>
    <w:rsid w:val="00091A23"/>
    <w:rsid w:val="000A2336"/>
    <w:rsid w:val="000B638E"/>
    <w:rsid w:val="000B7DE8"/>
    <w:rsid w:val="000C129B"/>
    <w:rsid w:val="000D0D99"/>
    <w:rsid w:val="000D2C6E"/>
    <w:rsid w:val="000F2CED"/>
    <w:rsid w:val="000F4F05"/>
    <w:rsid w:val="000F7864"/>
    <w:rsid w:val="00110CCB"/>
    <w:rsid w:val="00111786"/>
    <w:rsid w:val="00114F5F"/>
    <w:rsid w:val="00123015"/>
    <w:rsid w:val="001317EC"/>
    <w:rsid w:val="001359F6"/>
    <w:rsid w:val="00135C50"/>
    <w:rsid w:val="001469B3"/>
    <w:rsid w:val="001471C3"/>
    <w:rsid w:val="00150AE4"/>
    <w:rsid w:val="00150F4A"/>
    <w:rsid w:val="0015337D"/>
    <w:rsid w:val="00191F6C"/>
    <w:rsid w:val="001A14D2"/>
    <w:rsid w:val="001B39DC"/>
    <w:rsid w:val="001B4009"/>
    <w:rsid w:val="001C1BA8"/>
    <w:rsid w:val="001D034B"/>
    <w:rsid w:val="001D3CD6"/>
    <w:rsid w:val="001D66E9"/>
    <w:rsid w:val="001D7049"/>
    <w:rsid w:val="001F38C6"/>
    <w:rsid w:val="00225CC2"/>
    <w:rsid w:val="00226629"/>
    <w:rsid w:val="002271E1"/>
    <w:rsid w:val="002327E6"/>
    <w:rsid w:val="00232A30"/>
    <w:rsid w:val="0023471C"/>
    <w:rsid w:val="002369AF"/>
    <w:rsid w:val="00245A46"/>
    <w:rsid w:val="002530BE"/>
    <w:rsid w:val="00254134"/>
    <w:rsid w:val="00255046"/>
    <w:rsid w:val="00260703"/>
    <w:rsid w:val="00264D42"/>
    <w:rsid w:val="00270760"/>
    <w:rsid w:val="002727C8"/>
    <w:rsid w:val="00290AD0"/>
    <w:rsid w:val="00297279"/>
    <w:rsid w:val="002A74B5"/>
    <w:rsid w:val="002B78CC"/>
    <w:rsid w:val="002C09F0"/>
    <w:rsid w:val="002C2F19"/>
    <w:rsid w:val="002E1FB7"/>
    <w:rsid w:val="002F73DE"/>
    <w:rsid w:val="002F7F87"/>
    <w:rsid w:val="0030288E"/>
    <w:rsid w:val="00304696"/>
    <w:rsid w:val="0031560D"/>
    <w:rsid w:val="003158C3"/>
    <w:rsid w:val="0033071D"/>
    <w:rsid w:val="00346746"/>
    <w:rsid w:val="00351868"/>
    <w:rsid w:val="00361D1E"/>
    <w:rsid w:val="003650E8"/>
    <w:rsid w:val="00394D51"/>
    <w:rsid w:val="003A5ADE"/>
    <w:rsid w:val="003A68FF"/>
    <w:rsid w:val="003B06CC"/>
    <w:rsid w:val="003B3F91"/>
    <w:rsid w:val="003B5134"/>
    <w:rsid w:val="003C5E54"/>
    <w:rsid w:val="003C6FF0"/>
    <w:rsid w:val="003D7C86"/>
    <w:rsid w:val="003F3836"/>
    <w:rsid w:val="004044EA"/>
    <w:rsid w:val="00404886"/>
    <w:rsid w:val="00405071"/>
    <w:rsid w:val="004132E2"/>
    <w:rsid w:val="00416C3F"/>
    <w:rsid w:val="004306B6"/>
    <w:rsid w:val="00442B71"/>
    <w:rsid w:val="00452FC6"/>
    <w:rsid w:val="00455E8B"/>
    <w:rsid w:val="004604AB"/>
    <w:rsid w:val="00460782"/>
    <w:rsid w:val="00470E22"/>
    <w:rsid w:val="004813CA"/>
    <w:rsid w:val="004937AC"/>
    <w:rsid w:val="004A02BF"/>
    <w:rsid w:val="004A0331"/>
    <w:rsid w:val="004A3DE4"/>
    <w:rsid w:val="004F1699"/>
    <w:rsid w:val="004F2816"/>
    <w:rsid w:val="004F5DF8"/>
    <w:rsid w:val="0050364C"/>
    <w:rsid w:val="005057A7"/>
    <w:rsid w:val="005073B9"/>
    <w:rsid w:val="005167B5"/>
    <w:rsid w:val="00522C56"/>
    <w:rsid w:val="00532FC6"/>
    <w:rsid w:val="0053555E"/>
    <w:rsid w:val="00556816"/>
    <w:rsid w:val="005651DF"/>
    <w:rsid w:val="005652A5"/>
    <w:rsid w:val="005733C4"/>
    <w:rsid w:val="0057357C"/>
    <w:rsid w:val="00577B92"/>
    <w:rsid w:val="00580F62"/>
    <w:rsid w:val="00581179"/>
    <w:rsid w:val="00581FB0"/>
    <w:rsid w:val="00582A04"/>
    <w:rsid w:val="00585F84"/>
    <w:rsid w:val="00590D17"/>
    <w:rsid w:val="00593E79"/>
    <w:rsid w:val="005A1DD3"/>
    <w:rsid w:val="005A74C6"/>
    <w:rsid w:val="005A7966"/>
    <w:rsid w:val="005B537B"/>
    <w:rsid w:val="005D527C"/>
    <w:rsid w:val="005D77E1"/>
    <w:rsid w:val="005E2872"/>
    <w:rsid w:val="005E3187"/>
    <w:rsid w:val="006158D8"/>
    <w:rsid w:val="00621C63"/>
    <w:rsid w:val="006248E1"/>
    <w:rsid w:val="006255BE"/>
    <w:rsid w:val="00625E72"/>
    <w:rsid w:val="006375E4"/>
    <w:rsid w:val="0065504E"/>
    <w:rsid w:val="00673927"/>
    <w:rsid w:val="006864A5"/>
    <w:rsid w:val="00692BE0"/>
    <w:rsid w:val="006A4423"/>
    <w:rsid w:val="006A73CF"/>
    <w:rsid w:val="006B2633"/>
    <w:rsid w:val="006B5DAA"/>
    <w:rsid w:val="006C2BD5"/>
    <w:rsid w:val="006E4CA9"/>
    <w:rsid w:val="006F0A2B"/>
    <w:rsid w:val="006F3AD9"/>
    <w:rsid w:val="006F3CA8"/>
    <w:rsid w:val="006F572C"/>
    <w:rsid w:val="00702DB2"/>
    <w:rsid w:val="0070436E"/>
    <w:rsid w:val="00705A28"/>
    <w:rsid w:val="00706296"/>
    <w:rsid w:val="00714DB7"/>
    <w:rsid w:val="00721C85"/>
    <w:rsid w:val="00721CD5"/>
    <w:rsid w:val="007274CE"/>
    <w:rsid w:val="00727B87"/>
    <w:rsid w:val="00727CCC"/>
    <w:rsid w:val="00735E47"/>
    <w:rsid w:val="00743BB9"/>
    <w:rsid w:val="00746C11"/>
    <w:rsid w:val="007504B2"/>
    <w:rsid w:val="007533A1"/>
    <w:rsid w:val="00760F19"/>
    <w:rsid w:val="0077337C"/>
    <w:rsid w:val="0078012F"/>
    <w:rsid w:val="007807FC"/>
    <w:rsid w:val="00783833"/>
    <w:rsid w:val="007970F1"/>
    <w:rsid w:val="007A7358"/>
    <w:rsid w:val="007B165A"/>
    <w:rsid w:val="007B2277"/>
    <w:rsid w:val="007C4BE0"/>
    <w:rsid w:val="007D160B"/>
    <w:rsid w:val="007D1FB8"/>
    <w:rsid w:val="007D404F"/>
    <w:rsid w:val="007D518A"/>
    <w:rsid w:val="007E28C4"/>
    <w:rsid w:val="007F1C30"/>
    <w:rsid w:val="007F4601"/>
    <w:rsid w:val="007F4AEE"/>
    <w:rsid w:val="00810A59"/>
    <w:rsid w:val="00813F17"/>
    <w:rsid w:val="008238E5"/>
    <w:rsid w:val="0082599F"/>
    <w:rsid w:val="00834F4D"/>
    <w:rsid w:val="00840C3A"/>
    <w:rsid w:val="00844A73"/>
    <w:rsid w:val="008640DD"/>
    <w:rsid w:val="0087420B"/>
    <w:rsid w:val="0087496E"/>
    <w:rsid w:val="0088676F"/>
    <w:rsid w:val="008B460E"/>
    <w:rsid w:val="008B5700"/>
    <w:rsid w:val="008D3861"/>
    <w:rsid w:val="008D5749"/>
    <w:rsid w:val="008D5E36"/>
    <w:rsid w:val="0090206B"/>
    <w:rsid w:val="00906566"/>
    <w:rsid w:val="00916FDD"/>
    <w:rsid w:val="00917F92"/>
    <w:rsid w:val="0092478A"/>
    <w:rsid w:val="00932286"/>
    <w:rsid w:val="00941285"/>
    <w:rsid w:val="00941CB7"/>
    <w:rsid w:val="00957F12"/>
    <w:rsid w:val="00972B1B"/>
    <w:rsid w:val="009745E9"/>
    <w:rsid w:val="0097534C"/>
    <w:rsid w:val="00981E29"/>
    <w:rsid w:val="00984FE6"/>
    <w:rsid w:val="00997FAC"/>
    <w:rsid w:val="009C1B4A"/>
    <w:rsid w:val="009C1D94"/>
    <w:rsid w:val="009C51F6"/>
    <w:rsid w:val="009C5DCC"/>
    <w:rsid w:val="009D079E"/>
    <w:rsid w:val="009E2866"/>
    <w:rsid w:val="009E44E9"/>
    <w:rsid w:val="009E5638"/>
    <w:rsid w:val="009F0853"/>
    <w:rsid w:val="009F29E8"/>
    <w:rsid w:val="00A12E4D"/>
    <w:rsid w:val="00A14C37"/>
    <w:rsid w:val="00A15FF8"/>
    <w:rsid w:val="00A251BD"/>
    <w:rsid w:val="00A25CE6"/>
    <w:rsid w:val="00A314D2"/>
    <w:rsid w:val="00A32402"/>
    <w:rsid w:val="00A427C7"/>
    <w:rsid w:val="00A51313"/>
    <w:rsid w:val="00A64CD5"/>
    <w:rsid w:val="00A7166C"/>
    <w:rsid w:val="00A71B22"/>
    <w:rsid w:val="00A7345E"/>
    <w:rsid w:val="00A82938"/>
    <w:rsid w:val="00A87259"/>
    <w:rsid w:val="00AA0141"/>
    <w:rsid w:val="00AB5199"/>
    <w:rsid w:val="00AC7461"/>
    <w:rsid w:val="00AD4C26"/>
    <w:rsid w:val="00AD7F5E"/>
    <w:rsid w:val="00AE67AE"/>
    <w:rsid w:val="00AF2C57"/>
    <w:rsid w:val="00AF3A1B"/>
    <w:rsid w:val="00AF4C90"/>
    <w:rsid w:val="00AF622A"/>
    <w:rsid w:val="00B057E0"/>
    <w:rsid w:val="00B0655B"/>
    <w:rsid w:val="00B12295"/>
    <w:rsid w:val="00B266AE"/>
    <w:rsid w:val="00B33C3F"/>
    <w:rsid w:val="00B3632D"/>
    <w:rsid w:val="00B53ED2"/>
    <w:rsid w:val="00B6572C"/>
    <w:rsid w:val="00B66F66"/>
    <w:rsid w:val="00B7123E"/>
    <w:rsid w:val="00B72A32"/>
    <w:rsid w:val="00B74EC9"/>
    <w:rsid w:val="00B763F7"/>
    <w:rsid w:val="00B803BB"/>
    <w:rsid w:val="00B86153"/>
    <w:rsid w:val="00BB0570"/>
    <w:rsid w:val="00BB4F94"/>
    <w:rsid w:val="00BB5289"/>
    <w:rsid w:val="00BD3B85"/>
    <w:rsid w:val="00BD4B77"/>
    <w:rsid w:val="00BF0A39"/>
    <w:rsid w:val="00BF2AA9"/>
    <w:rsid w:val="00BF31A9"/>
    <w:rsid w:val="00BF57B8"/>
    <w:rsid w:val="00C02702"/>
    <w:rsid w:val="00C05D96"/>
    <w:rsid w:val="00C12807"/>
    <w:rsid w:val="00C151B0"/>
    <w:rsid w:val="00C156A5"/>
    <w:rsid w:val="00C26E3B"/>
    <w:rsid w:val="00C4107A"/>
    <w:rsid w:val="00C429E4"/>
    <w:rsid w:val="00C46B1D"/>
    <w:rsid w:val="00C46FBE"/>
    <w:rsid w:val="00C51A4F"/>
    <w:rsid w:val="00C57BEC"/>
    <w:rsid w:val="00C6748B"/>
    <w:rsid w:val="00C753C1"/>
    <w:rsid w:val="00C769A7"/>
    <w:rsid w:val="00C76BF1"/>
    <w:rsid w:val="00C80895"/>
    <w:rsid w:val="00C8320D"/>
    <w:rsid w:val="00C9192B"/>
    <w:rsid w:val="00C934FE"/>
    <w:rsid w:val="00C97EBD"/>
    <w:rsid w:val="00CB1889"/>
    <w:rsid w:val="00CB41EC"/>
    <w:rsid w:val="00CB44CE"/>
    <w:rsid w:val="00CC1FDA"/>
    <w:rsid w:val="00CC6E24"/>
    <w:rsid w:val="00CD6CAE"/>
    <w:rsid w:val="00CE0AE6"/>
    <w:rsid w:val="00CE1487"/>
    <w:rsid w:val="00CE16E4"/>
    <w:rsid w:val="00CF7924"/>
    <w:rsid w:val="00D12192"/>
    <w:rsid w:val="00D1613B"/>
    <w:rsid w:val="00D30F22"/>
    <w:rsid w:val="00D339A2"/>
    <w:rsid w:val="00D41696"/>
    <w:rsid w:val="00D42291"/>
    <w:rsid w:val="00D4255C"/>
    <w:rsid w:val="00D43077"/>
    <w:rsid w:val="00D47B04"/>
    <w:rsid w:val="00D52EB3"/>
    <w:rsid w:val="00D556C1"/>
    <w:rsid w:val="00D65A08"/>
    <w:rsid w:val="00D74015"/>
    <w:rsid w:val="00D8595E"/>
    <w:rsid w:val="00D911E3"/>
    <w:rsid w:val="00DA0983"/>
    <w:rsid w:val="00DA5276"/>
    <w:rsid w:val="00DA6601"/>
    <w:rsid w:val="00DB41A7"/>
    <w:rsid w:val="00DB5603"/>
    <w:rsid w:val="00DC6A67"/>
    <w:rsid w:val="00DC7285"/>
    <w:rsid w:val="00DD31A2"/>
    <w:rsid w:val="00DE1AF8"/>
    <w:rsid w:val="00DE6D90"/>
    <w:rsid w:val="00DF7F83"/>
    <w:rsid w:val="00E01079"/>
    <w:rsid w:val="00E0566A"/>
    <w:rsid w:val="00E05B30"/>
    <w:rsid w:val="00E15CC1"/>
    <w:rsid w:val="00E16848"/>
    <w:rsid w:val="00E40038"/>
    <w:rsid w:val="00E506F3"/>
    <w:rsid w:val="00E67041"/>
    <w:rsid w:val="00E83709"/>
    <w:rsid w:val="00E927DF"/>
    <w:rsid w:val="00EA2F72"/>
    <w:rsid w:val="00EB495C"/>
    <w:rsid w:val="00EB5852"/>
    <w:rsid w:val="00EB7D4F"/>
    <w:rsid w:val="00EC58B6"/>
    <w:rsid w:val="00EC7166"/>
    <w:rsid w:val="00ED151B"/>
    <w:rsid w:val="00EE7640"/>
    <w:rsid w:val="00F03737"/>
    <w:rsid w:val="00F21E44"/>
    <w:rsid w:val="00F25D78"/>
    <w:rsid w:val="00F61EAE"/>
    <w:rsid w:val="00F62998"/>
    <w:rsid w:val="00F65759"/>
    <w:rsid w:val="00FA35A6"/>
    <w:rsid w:val="00FB08F7"/>
    <w:rsid w:val="00FC3D0A"/>
    <w:rsid w:val="00FC542F"/>
    <w:rsid w:val="00FD495C"/>
    <w:rsid w:val="00FD6410"/>
    <w:rsid w:val="02A42D27"/>
    <w:rsid w:val="05FA2855"/>
    <w:rsid w:val="0D642DC9"/>
    <w:rsid w:val="26B80661"/>
    <w:rsid w:val="459D4BCC"/>
    <w:rsid w:val="4B26353C"/>
    <w:rsid w:val="54F226E1"/>
    <w:rsid w:val="557D373D"/>
    <w:rsid w:val="56F40992"/>
    <w:rsid w:val="64A05CB5"/>
    <w:rsid w:val="6FDBDA9B"/>
    <w:rsid w:val="70921A71"/>
    <w:rsid w:val="72135D18"/>
    <w:rsid w:val="77F7BA16"/>
    <w:rsid w:val="79C40FC5"/>
    <w:rsid w:val="938BF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8" w:lineRule="exact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line="600" w:lineRule="exact"/>
    </w:pPr>
    <w:rPr>
      <w:rFonts w:ascii="仿宋_GB2312" w:eastAsia="仿宋_GB2312" w:cs="Times New Roman"/>
      <w:szCs w:val="20"/>
      <w14:ligatures w14:val="none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0"/>
    <w:rPr>
      <w:rFonts w:ascii="仿宋_GB2312" w:eastAsia="仿宋_GB2312" w:cs="Times New Roman"/>
      <w:szCs w:val="20"/>
      <w14:ligatures w14:val="none"/>
    </w:rPr>
  </w:style>
  <w:style w:type="paragraph" w:customStyle="1" w:styleId="11">
    <w:name w:val="Revision"/>
    <w:hidden/>
    <w:semiHidden/>
    <w:qFormat/>
    <w:uiPriority w:val="99"/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2160</Words>
  <Characters>12315</Characters>
  <Lines>102</Lines>
  <Paragraphs>28</Paragraphs>
  <TotalTime>0</TotalTime>
  <ScaleCrop>false</ScaleCrop>
  <LinksUpToDate>false</LinksUpToDate>
  <CharactersWithSpaces>14447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2022-06-08T16:25:00Z</dcterms:created>
  <dc:creator>Li S.L.</dc:creator>
  <cp:lastModifiedBy>userson</cp:lastModifiedBy>
  <cp:lastPrinted>2024-05-29T03:47:00Z</cp:lastPrinted>
  <dcterms:modified xsi:type="dcterms:W3CDTF">2025-03-12T09:47:48Z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9982A432B89947529C0A7FD59D14D6C3</vt:lpwstr>
  </property>
</Properties>
</file>