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right"/>
        <w:rPr>
          <w:rFonts w:ascii="Times New Roman" w:hAnsi="Times New Roman" w:eastAsia="方正仿宋_GBK"/>
          <w:b/>
          <w:sz w:val="44"/>
          <w:szCs w:val="44"/>
        </w:rPr>
      </w:pP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B</w:t>
      </w:r>
      <w:r>
        <w:rPr>
          <w:rFonts w:ascii="Times New Roman" w:hAnsi="Times New Roman" w:eastAsia="方正仿宋_GBK"/>
          <w:b/>
          <w:sz w:val="32"/>
          <w:szCs w:val="32"/>
        </w:rPr>
        <w:t>类</w:t>
      </w:r>
      <w:r>
        <w:rPr>
          <w:rFonts w:hint="eastAsia" w:ascii="Times New Roman" w:hAnsi="Times New Roman" w:eastAsia="方正黑体_GBK"/>
          <w:sz w:val="32"/>
          <w:szCs w:val="32"/>
        </w:rPr>
        <w:t xml:space="preserve"> </w:t>
      </w:r>
      <w:r>
        <w:rPr>
          <w:rFonts w:hint="eastAsia" w:ascii="Times New Roman" w:hAnsi="Times New Roman" w:eastAsia="方正黑体_GBK"/>
          <w:sz w:val="44"/>
          <w:szCs w:val="44"/>
        </w:rPr>
        <w:t xml:space="preserve">                                          </w:t>
      </w:r>
    </w:p>
    <w:p>
      <w:pPr>
        <w:jc w:val="distribute"/>
        <w:rPr>
          <w:rFonts w:ascii="Times New Roman" w:hAnsi="Times New Roman" w:eastAsia="方正小标宋_GBK" w:cs="方正小标宋_GBK"/>
          <w:color w:val="FF0000"/>
          <w:sz w:val="112"/>
          <w:szCs w:val="112"/>
        </w:rPr>
      </w:pPr>
      <w:r>
        <w:rPr>
          <w:rFonts w:ascii="Times New Roman" w:hAnsi="Times New Roman" w:eastAsia="方正仿宋_GBK"/>
          <w:sz w:val="112"/>
          <w:szCs w:val="20"/>
        </w:rPr>
        <w:pict>
          <v:line id="_x0000_s2051" o:spid="_x0000_s2051" o:spt="20" style="position:absolute;left:0pt;margin-left:-11.75pt;margin-top:90.95pt;height:0pt;width:463.5pt;z-index:251660288;mso-width-relative:page;mso-height-relative:page;" stroked="t" coordsize="21600,21600" o:gfxdata="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Nd7pZNcA&#10;AAALAQAADwAAAAAAAAABACAAAAA4AAAAZHJzL2Rvd25yZXYueG1sUEsBAhQAFAAAAAgAh07iQPG+&#10;GzvRAQAAZQMAAA4AAAAAAAAAAQAgAAAAPAEAAGRycy9lMm9Eb2MueG1sUEsFBgAAAAAGAAYAWQEA&#10;AH8FAAAAAA==&#10;">
            <v:path arrowok="t"/>
            <v:fill focussize="0,0"/>
            <v:stroke color="#FF0000"/>
            <v:imagedata o:title=""/>
            <o:lock v:ext="edit"/>
          </v:line>
        </w:pict>
      </w:r>
      <w:r>
        <w:rPr>
          <w:rFonts w:ascii="Times New Roman" w:hAnsi="Times New Roman" w:eastAsia="方正仿宋_GBK"/>
          <w:sz w:val="112"/>
          <w:szCs w:val="20"/>
        </w:rPr>
        <w:pict>
          <v:line id="_x0000_s2050" o:spid="_x0000_s2050" o:spt="20" style="position:absolute;left:0pt;margin-left:-13.25pt;margin-top:86.45pt;height:0pt;width:467.25pt;z-index:251659264;mso-width-relative:page;mso-height-relative:page;" stroked="t" coordsize="21600,21600" o:gfxdata="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rfiVb9oAAAALAQAADwAAAAAAAAABACAAAAA4AAAAZHJzL2Rvd25yZXYueG1sUEsBAhQAFAAAAAgA&#10;h07iQPoQgzLUAQAAZgMAAA4AAAAAAAAAAQAgAAAAPwEAAGRycy9lMm9Eb2MueG1sUEsFBgAAAAAG&#10;AAYAWQEAAIUFAAAAAA==&#10;">
            <v:path arrowok="t"/>
            <v:fill focussize="0,0"/>
            <v:stroke weight="2.75pt" color="#FF0000"/>
            <v:imagedata o:title=""/>
            <o:lock v:ext="edit"/>
          </v:line>
        </w:pict>
      </w:r>
      <w:r>
        <w:rPr>
          <w:rFonts w:hint="eastAsia" w:ascii="Times New Roman" w:hAnsi="Times New Roman" w:eastAsia="方正小标宋_GBK" w:cs="方正小标宋_GBK"/>
          <w:color w:val="FF0000"/>
          <w:sz w:val="112"/>
          <w:szCs w:val="112"/>
        </w:rPr>
        <w:t>云阳县民政局</w:t>
      </w:r>
    </w:p>
    <w:p>
      <w:pPr>
        <w:tabs>
          <w:tab w:val="left" w:pos="1145"/>
        </w:tabs>
        <w:wordWrap w:val="0"/>
        <w:spacing w:line="580" w:lineRule="exact"/>
        <w:jc w:val="right"/>
        <w:rPr>
          <w:rFonts w:ascii="Times New Roman" w:hAnsi="Times New Roman" w:eastAsia="方正仿宋_GBK" w:cs="宋体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云阳民函〔</w:t>
      </w: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</w:rPr>
        <w:t>25〕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106</w:t>
      </w:r>
      <w:r>
        <w:rPr>
          <w:rFonts w:hint="eastAsia" w:ascii="Times New Roman" w:hAnsi="Times New Roman" w:eastAsia="方正仿宋_GBK"/>
          <w:sz w:val="32"/>
          <w:szCs w:val="32"/>
        </w:rPr>
        <w:t>号</w:t>
      </w:r>
    </w:p>
    <w:p>
      <w:pPr>
        <w:spacing w:line="580" w:lineRule="exact"/>
        <w:jc w:val="center"/>
        <w:rPr>
          <w:rFonts w:ascii="Times New Roman" w:hAnsi="Times New Roman" w:eastAsia="方正小标宋_GBK"/>
          <w:bCs/>
          <w:sz w:val="44"/>
          <w:szCs w:val="20"/>
        </w:rPr>
      </w:pPr>
    </w:p>
    <w:p>
      <w:pPr>
        <w:spacing w:line="580" w:lineRule="exact"/>
        <w:rPr>
          <w:rFonts w:ascii="Times New Roman" w:hAnsi="Times New Roman" w:eastAsia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云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sz w:val="44"/>
          <w:szCs w:val="44"/>
        </w:rPr>
        <w:t>关于县政协第十五届五次会议048</w:t>
      </w:r>
      <w:r>
        <w:rPr>
          <w:rFonts w:hint="eastAsia" w:eastAsia="方正小标宋_GBK" w:cs="方正小标宋_GBK"/>
          <w:sz w:val="44"/>
          <w:szCs w:val="44"/>
          <w:lang w:eastAsia="zh-CN"/>
        </w:rPr>
        <w:t>（并）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提案的复函</w:t>
      </w:r>
    </w:p>
    <w:bookmarkEnd w:id="0"/>
    <w:p>
      <w:pPr>
        <w:spacing w:line="480" w:lineRule="exact"/>
        <w:ind w:firstLine="480" w:firstLineChars="15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陶娟</w:t>
      </w:r>
      <w:r>
        <w:rPr>
          <w:rFonts w:ascii="Times New Roman" w:hAnsi="Times New Roman" w:eastAsia="方正仿宋_GBK"/>
          <w:sz w:val="32"/>
          <w:szCs w:val="32"/>
        </w:rPr>
        <w:t>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您提出的《</w:t>
      </w:r>
      <w:r>
        <w:rPr>
          <w:rFonts w:hint="eastAsia" w:ascii="Times New Roman" w:hAnsi="Times New Roman" w:eastAsia="方正仿宋_GBK"/>
          <w:sz w:val="32"/>
          <w:szCs w:val="32"/>
        </w:rPr>
        <w:t>关于优化养老服务机制的建议</w:t>
      </w:r>
      <w:r>
        <w:rPr>
          <w:rFonts w:ascii="Times New Roman" w:hAnsi="Times New Roman" w:eastAsia="方正仿宋_GBK"/>
          <w:sz w:val="32"/>
          <w:szCs w:val="32"/>
        </w:rPr>
        <w:t>》（第</w:t>
      </w:r>
      <w:r>
        <w:rPr>
          <w:rFonts w:hint="eastAsia" w:ascii="Times New Roman" w:hAnsi="Times New Roman" w:eastAsia="方正仿宋_GBK"/>
          <w:sz w:val="32"/>
          <w:szCs w:val="32"/>
        </w:rPr>
        <w:t>048</w:t>
      </w:r>
      <w:r>
        <w:rPr>
          <w:rFonts w:ascii="Times New Roman" w:hAnsi="Times New Roman" w:eastAsia="方正仿宋_GBK"/>
          <w:sz w:val="32"/>
          <w:szCs w:val="32"/>
        </w:rPr>
        <w:t>）收悉。经研究办理，现答复如下：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一、养老服务体系建设情况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（一）基本养老服务体系初步形成。</w:t>
      </w:r>
      <w:r>
        <w:rPr>
          <w:rFonts w:hint="eastAsia" w:ascii="Times New Roman" w:hAnsi="Times New Roman" w:eastAsia="方正仿宋_GBK"/>
          <w:sz w:val="32"/>
          <w:szCs w:val="32"/>
        </w:rPr>
        <w:t>自2021年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以来，</w:t>
      </w:r>
      <w:r>
        <w:rPr>
          <w:rFonts w:hint="eastAsia" w:ascii="Times New Roman" w:hAnsi="Times New Roman" w:eastAsia="方正仿宋_GBK"/>
          <w:sz w:val="32"/>
          <w:szCs w:val="32"/>
        </w:rPr>
        <w:t>通过三年的养老服务设施全覆盖建设，全县已</w:t>
      </w:r>
      <w:r>
        <w:rPr>
          <w:rFonts w:ascii="Times New Roman" w:hAnsi="Times New Roman" w:eastAsia="方正仿宋_GBK"/>
          <w:sz w:val="32"/>
          <w:szCs w:val="32"/>
        </w:rPr>
        <w:t>建成42个</w:t>
      </w:r>
      <w:r>
        <w:rPr>
          <w:rFonts w:hint="eastAsia" w:ascii="Times New Roman" w:hAnsi="Times New Roman" w:eastAsia="方正仿宋_GBK"/>
          <w:sz w:val="32"/>
          <w:szCs w:val="32"/>
        </w:rPr>
        <w:t>乡</w:t>
      </w:r>
      <w:r>
        <w:rPr>
          <w:rFonts w:ascii="Times New Roman" w:hAnsi="Times New Roman" w:eastAsia="方正仿宋_GBK"/>
          <w:sz w:val="32"/>
          <w:szCs w:val="32"/>
        </w:rPr>
        <w:t>镇</w:t>
      </w:r>
      <w:r>
        <w:rPr>
          <w:rFonts w:hint="eastAsia" w:ascii="Times New Roman" w:hAnsi="Times New Roman" w:eastAsia="方正仿宋_GBK"/>
          <w:sz w:val="32"/>
          <w:szCs w:val="32"/>
        </w:rPr>
        <w:t>（</w:t>
      </w:r>
      <w:r>
        <w:rPr>
          <w:rFonts w:ascii="Times New Roman" w:hAnsi="Times New Roman" w:eastAsia="方正仿宋_GBK"/>
          <w:sz w:val="32"/>
          <w:szCs w:val="32"/>
        </w:rPr>
        <w:t>街</w:t>
      </w:r>
      <w:r>
        <w:rPr>
          <w:rFonts w:hint="eastAsia" w:ascii="Times New Roman" w:hAnsi="Times New Roman" w:eastAsia="方正仿宋_GBK"/>
          <w:sz w:val="32"/>
          <w:szCs w:val="32"/>
        </w:rPr>
        <w:t>道）</w:t>
      </w:r>
      <w:r>
        <w:rPr>
          <w:rFonts w:ascii="Times New Roman" w:hAnsi="Times New Roman" w:eastAsia="方正仿宋_GBK"/>
          <w:sz w:val="32"/>
          <w:szCs w:val="32"/>
        </w:rPr>
        <w:t>养老服务中心、98个社区养老服务站和380个村级养老服务点，初步</w:t>
      </w:r>
      <w:r>
        <w:rPr>
          <w:rFonts w:hint="eastAsia" w:ascii="Times New Roman" w:hAnsi="Times New Roman" w:eastAsia="方正仿宋_GBK"/>
          <w:sz w:val="32"/>
          <w:szCs w:val="32"/>
        </w:rPr>
        <w:t>建成涵盖</w:t>
      </w:r>
      <w:r>
        <w:rPr>
          <w:rFonts w:ascii="Times New Roman" w:hAnsi="Times New Roman" w:eastAsia="方正仿宋_GBK"/>
          <w:sz w:val="32"/>
          <w:szCs w:val="32"/>
        </w:rPr>
        <w:t>县、乡、村</w:t>
      </w:r>
      <w:r>
        <w:rPr>
          <w:rFonts w:hint="eastAsia" w:ascii="Times New Roman" w:hAnsi="Times New Roman" w:eastAsia="方正仿宋_GBK"/>
          <w:sz w:val="32"/>
          <w:szCs w:val="32"/>
        </w:rPr>
        <w:t>的</w:t>
      </w:r>
      <w:r>
        <w:rPr>
          <w:rFonts w:ascii="Times New Roman" w:hAnsi="Times New Roman" w:eastAsia="方正仿宋_GBK"/>
          <w:sz w:val="32"/>
          <w:szCs w:val="32"/>
        </w:rPr>
        <w:t>三级基本养老服务体系。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（二）养老事业和产业持续加力。</w:t>
      </w:r>
      <w:r>
        <w:rPr>
          <w:rFonts w:ascii="Times New Roman" w:hAnsi="Times New Roman" w:eastAsia="方正仿宋_GBK"/>
          <w:sz w:val="32"/>
          <w:szCs w:val="32"/>
        </w:rPr>
        <w:t>一是加大政府投资。以打造渝东北机构养老高地为目标，积极策划五年重点项目和三年滚动项目，已入库41个项目。争取中央预算内资金1.08亿元和县级专项债投入0.96亿元启动老年养护院和第二老年养护院建设，老年养护院</w:t>
      </w:r>
      <w:r>
        <w:rPr>
          <w:rFonts w:hint="eastAsia" w:ascii="Times New Roman" w:hAnsi="Times New Roman" w:eastAsia="方正仿宋_GBK"/>
          <w:sz w:val="32"/>
          <w:szCs w:val="32"/>
        </w:rPr>
        <w:t>已</w:t>
      </w:r>
      <w:r>
        <w:rPr>
          <w:rFonts w:ascii="Times New Roman" w:hAnsi="Times New Roman" w:eastAsia="方正仿宋_GBK"/>
          <w:sz w:val="32"/>
          <w:szCs w:val="32"/>
        </w:rPr>
        <w:t>完成主体封顶进入装修阶段，第二老年养护院完成场坪工程量</w:t>
      </w:r>
      <w:r>
        <w:rPr>
          <w:rFonts w:hint="eastAsia" w:ascii="Times New Roman" w:hAnsi="Times New Roman" w:eastAsia="方正仿宋_GBK"/>
          <w:sz w:val="32"/>
          <w:szCs w:val="32"/>
        </w:rPr>
        <w:t>6</w:t>
      </w:r>
      <w:r>
        <w:rPr>
          <w:rFonts w:ascii="Times New Roman" w:hAnsi="Times New Roman" w:eastAsia="方正仿宋_GBK"/>
          <w:sz w:val="32"/>
          <w:szCs w:val="32"/>
        </w:rPr>
        <w:t>0%。二是大力培育发展社会办养老机构。着力推动总投资5.5亿元、床位在200张以上的6家社会办养老机构建设。</w:t>
      </w:r>
      <w:r>
        <w:rPr>
          <w:rFonts w:hint="eastAsia" w:ascii="Times New Roman" w:hAnsi="Times New Roman" w:eastAsia="方正仿宋_GBK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爱里养老</w:t>
      </w:r>
      <w:r>
        <w:rPr>
          <w:rFonts w:hint="eastAsia" w:ascii="Times New Roman" w:hAnsi="Times New Roman" w:eastAsia="方正仿宋_GBK"/>
          <w:sz w:val="32"/>
          <w:szCs w:val="32"/>
        </w:rPr>
        <w:t>”“</w:t>
      </w:r>
      <w:r>
        <w:rPr>
          <w:rFonts w:ascii="Times New Roman" w:hAnsi="Times New Roman" w:eastAsia="方正仿宋_GBK"/>
          <w:sz w:val="32"/>
          <w:szCs w:val="32"/>
        </w:rPr>
        <w:t>水印云阳</w:t>
      </w:r>
      <w:r>
        <w:rPr>
          <w:rFonts w:hint="eastAsia" w:ascii="Times New Roman" w:hAnsi="Times New Roman" w:eastAsia="汉仪大黑简" w:cs="汉仪大黑简"/>
          <w:sz w:val="32"/>
          <w:szCs w:val="32"/>
        </w:rPr>
        <w:t>·</w:t>
      </w:r>
      <w:r>
        <w:rPr>
          <w:rFonts w:ascii="Times New Roman" w:hAnsi="Times New Roman" w:eastAsia="方正仿宋_GBK"/>
          <w:sz w:val="32"/>
          <w:szCs w:val="32"/>
        </w:rPr>
        <w:t>怡养家园</w:t>
      </w:r>
      <w:r>
        <w:rPr>
          <w:rFonts w:hint="eastAsia" w:ascii="Times New Roman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和农坝镇养老中心已投入使用，能开展日托、全托养老服务。</w:t>
      </w:r>
      <w:r>
        <w:rPr>
          <w:rFonts w:hint="eastAsia" w:ascii="Times New Roman" w:hAnsi="Times New Roman" w:eastAsia="方正仿宋_GBK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爱心老年养护院</w:t>
      </w:r>
      <w:r>
        <w:rPr>
          <w:rFonts w:hint="eastAsia" w:ascii="Times New Roman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已完成主体工程，进入装修阶段。南溪镇福春康养中心已完成场坪。三是社区居家养老骨干网络</w:t>
      </w:r>
      <w:r>
        <w:rPr>
          <w:rFonts w:hint="eastAsia" w:ascii="Times New Roman" w:hAnsi="Times New Roman" w:eastAsia="方正仿宋_GBK"/>
          <w:sz w:val="32"/>
          <w:szCs w:val="32"/>
        </w:rPr>
        <w:t>项目推进有序。</w:t>
      </w:r>
      <w:r>
        <w:rPr>
          <w:rFonts w:ascii="Times New Roman" w:hAnsi="Times New Roman" w:eastAsia="方正仿宋_GBK"/>
          <w:sz w:val="32"/>
          <w:szCs w:val="32"/>
        </w:rPr>
        <w:t>已争取中央预算内资金3032万元</w:t>
      </w:r>
      <w:r>
        <w:rPr>
          <w:rFonts w:hint="eastAsia" w:ascii="Times New Roman" w:hAnsi="Times New Roman" w:eastAsia="方正仿宋_GBK"/>
          <w:sz w:val="32"/>
          <w:szCs w:val="32"/>
        </w:rPr>
        <w:t>、在青龙街道亮水坪社区、双江街道桂湾社区、体育场等地打造3家社区养老服务综合体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二、社区居家养老服务场景日渐完善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（一）整合资源“搭台子”。</w:t>
      </w:r>
      <w:r>
        <w:rPr>
          <w:rFonts w:hint="eastAsia" w:ascii="Times New Roman" w:hAnsi="Times New Roman" w:eastAsia="方正仿宋_GBK"/>
          <w:sz w:val="32"/>
          <w:szCs w:val="32"/>
        </w:rPr>
        <w:t>积极引入社会力量，创新打造社区养老场景。依托县兴云集团建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设的</w:t>
      </w:r>
      <w:r>
        <w:rPr>
          <w:rFonts w:hint="eastAsia" w:ascii="Times New Roman" w:hAnsi="Times New Roman" w:eastAsia="方正仿宋_GBK"/>
          <w:sz w:val="32"/>
          <w:szCs w:val="32"/>
        </w:rPr>
        <w:t>青龙街道云福院社区食堂、人和街道怡心院社区食堂、柏杨湾社区居家养老服务中心均已建成投入使用，能为社区群众提供居家上门服务、老年助餐、日托和全托养老服务。截至目前，全县已建成双江街道爱里养老、青龙街道张家坝社区、江口镇滨河社区和故陵镇故陵社区等45家社区食堂，累计提供助餐服务18000余人次、提供中医理疗服务500余人次，代办手续、代缴费用等700余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（二）强化服务“建机制”。</w:t>
      </w:r>
      <w:r>
        <w:rPr>
          <w:rFonts w:ascii="Times New Roman" w:hAnsi="Times New Roman" w:eastAsia="方正仿宋_GBK"/>
          <w:sz w:val="32"/>
          <w:szCs w:val="32"/>
        </w:rPr>
        <w:t>广泛组织社区</w:t>
      </w:r>
      <w:r>
        <w:rPr>
          <w:rFonts w:hint="eastAsia" w:ascii="Times New Roman" w:hAnsi="Times New Roman" w:eastAsia="方正仿宋_GBK"/>
          <w:sz w:val="32"/>
          <w:szCs w:val="32"/>
        </w:rPr>
        <w:t>工作</w:t>
      </w:r>
      <w:r>
        <w:rPr>
          <w:rFonts w:ascii="Times New Roman" w:hAnsi="Times New Roman" w:eastAsia="方正仿宋_GBK"/>
          <w:sz w:val="32"/>
          <w:szCs w:val="32"/>
        </w:rPr>
        <w:t>人员对</w:t>
      </w:r>
      <w:r>
        <w:rPr>
          <w:rFonts w:hint="eastAsia" w:ascii="Times New Roman" w:hAnsi="Times New Roman" w:eastAsia="方正仿宋_GBK"/>
          <w:sz w:val="32"/>
          <w:szCs w:val="32"/>
        </w:rPr>
        <w:t>空巢、独居、失能等特殊困难</w:t>
      </w:r>
      <w:r>
        <w:rPr>
          <w:rFonts w:ascii="Times New Roman" w:hAnsi="Times New Roman" w:eastAsia="方正仿宋_GBK"/>
          <w:sz w:val="32"/>
          <w:szCs w:val="32"/>
        </w:rPr>
        <w:t>老人进行照顾与帮扶。在城区全面开展</w:t>
      </w:r>
      <w:r>
        <w:rPr>
          <w:rFonts w:hint="eastAsia" w:ascii="Times New Roman" w:hAnsi="Times New Roman" w:eastAsia="方正仿宋_GBK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三助</w:t>
      </w:r>
      <w:r>
        <w:rPr>
          <w:rFonts w:hint="eastAsia" w:ascii="Times New Roman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基本养老照料服务，在农村推行</w:t>
      </w:r>
      <w:r>
        <w:rPr>
          <w:rFonts w:hint="eastAsia" w:ascii="Times New Roman" w:hAnsi="Times New Roman" w:eastAsia="方正仿宋_GBK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四有五助</w:t>
      </w:r>
      <w:r>
        <w:rPr>
          <w:rFonts w:hint="eastAsia" w:ascii="Times New Roman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养老模式，为老年人提供养老等服务，为社区居家老人提供生活照料、家政服务、康复护理、精神慰藉、应急救援等上门服务。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（三）注重引导“强宣传”。</w:t>
      </w:r>
      <w:r>
        <w:rPr>
          <w:rFonts w:hint="eastAsia" w:ascii="Times New Roman" w:hAnsi="Times New Roman" w:eastAsia="方正仿宋_GBK"/>
          <w:sz w:val="32"/>
          <w:szCs w:val="32"/>
        </w:rPr>
        <w:t>一是强化宣传。自2023年以来，联合各乡镇（街道）深入城市社区和农村院坝，广泛宣传新时代养老政策。召开养老服务需求调研20余场次，发放养老需求问卷调查30000余份。二是做优民生实事。全县共对1458户特殊困难老年人实施居家适老化改造，针对性配置了适老化设施，有效改善了特殊困难老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年人的居家生活安全。</w:t>
      </w:r>
      <w:r>
        <w:rPr>
          <w:rFonts w:hint="eastAsia" w:ascii="Times New Roman" w:hAnsi="Times New Roman" w:eastAsia="方正仿宋_GBK"/>
          <w:sz w:val="32"/>
          <w:szCs w:val="32"/>
        </w:rPr>
        <w:t>三是扶持政策到位。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“十四五”时期</w:t>
      </w:r>
      <w:r>
        <w:rPr>
          <w:rFonts w:hint="eastAsia" w:ascii="Times New Roman" w:hAnsi="Times New Roman" w:eastAsia="方正仿宋_GBK"/>
          <w:sz w:val="32"/>
          <w:szCs w:val="32"/>
        </w:rPr>
        <w:t>以来，对符合条件的社区养老服务站和民办养老机构发放运营补贴193.35万元，有力推动了居家养老服务良性发展和可持续运营。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三、养老机构服务质量逐步提升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（一）强化人才队伍培育引进。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>以来</w:t>
      </w:r>
      <w:r>
        <w:rPr>
          <w:rFonts w:ascii="Times New Roman" w:hAnsi="Times New Roman" w:eastAsia="方正仿宋_GBK"/>
          <w:sz w:val="32"/>
          <w:szCs w:val="32"/>
        </w:rPr>
        <w:t>，县</w:t>
      </w:r>
      <w:r>
        <w:rPr>
          <w:rFonts w:hint="eastAsia" w:ascii="Times New Roman" w:hAnsi="Times New Roman" w:eastAsia="方正仿宋_GBK"/>
          <w:sz w:val="32"/>
          <w:szCs w:val="32"/>
        </w:rPr>
        <w:t>人力社保</w:t>
      </w:r>
      <w:r>
        <w:rPr>
          <w:rFonts w:ascii="Times New Roman" w:hAnsi="Times New Roman" w:eastAsia="方正仿宋_GBK"/>
          <w:sz w:val="32"/>
          <w:szCs w:val="32"/>
        </w:rPr>
        <w:t>局</w:t>
      </w:r>
      <w:r>
        <w:rPr>
          <w:rFonts w:hint="eastAsia" w:ascii="Times New Roman" w:hAnsi="Times New Roman" w:eastAsia="方正仿宋_GBK"/>
          <w:sz w:val="32"/>
          <w:szCs w:val="32"/>
        </w:rPr>
        <w:t>牵头组织</w:t>
      </w:r>
      <w:r>
        <w:rPr>
          <w:rFonts w:ascii="Times New Roman" w:hAnsi="Times New Roman" w:eastAsia="方正仿宋_GBK"/>
          <w:sz w:val="32"/>
          <w:szCs w:val="32"/>
        </w:rPr>
        <w:t>开展养老护理类培训</w:t>
      </w:r>
      <w:r>
        <w:rPr>
          <w:rFonts w:hint="eastAsia" w:ascii="Times New Roman" w:hAnsi="Times New Roman" w:eastAsia="方正仿宋_GBK"/>
          <w:sz w:val="32"/>
          <w:szCs w:val="32"/>
        </w:rPr>
        <w:t>1220</w:t>
      </w:r>
      <w:r>
        <w:rPr>
          <w:rFonts w:ascii="Times New Roman" w:hAnsi="Times New Roman" w:eastAsia="方正仿宋_GBK"/>
          <w:sz w:val="32"/>
          <w:szCs w:val="32"/>
        </w:rPr>
        <w:t>人次。县</w:t>
      </w:r>
      <w:r>
        <w:rPr>
          <w:rFonts w:hint="eastAsia" w:ascii="Times New Roman" w:hAnsi="Times New Roman" w:eastAsia="方正仿宋_GBK"/>
          <w:sz w:val="32"/>
          <w:szCs w:val="32"/>
        </w:rPr>
        <w:t>民政局</w:t>
      </w:r>
      <w:r>
        <w:rPr>
          <w:rFonts w:ascii="Times New Roman" w:hAnsi="Times New Roman" w:eastAsia="方正仿宋_GBK"/>
          <w:sz w:val="32"/>
          <w:szCs w:val="32"/>
        </w:rPr>
        <w:t>组织2名养老护理员积极参加第四届</w:t>
      </w:r>
      <w:r>
        <w:rPr>
          <w:rFonts w:hint="eastAsia" w:ascii="Times New Roman" w:hAnsi="Times New Roman" w:eastAsia="方正仿宋_GBK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渝家人</w:t>
      </w:r>
      <w:r>
        <w:rPr>
          <w:rFonts w:hint="eastAsia" w:ascii="Times New Roman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杯家政服务业技能大赛，获得</w:t>
      </w:r>
      <w:r>
        <w:rPr>
          <w:rFonts w:hint="eastAsia" w:ascii="Times New Roman" w:hAnsi="Times New Roman" w:eastAsia="方正仿宋_GBK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优秀组织奖</w:t>
      </w:r>
      <w:r>
        <w:rPr>
          <w:rFonts w:hint="eastAsia" w:ascii="Times New Roman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称号。全县养老行业共引进高（专）职养老服务优秀管理人员1</w:t>
      </w: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ascii="Times New Roman" w:hAnsi="Times New Roman" w:eastAsia="方正仿宋_GBK"/>
          <w:sz w:val="32"/>
          <w:szCs w:val="32"/>
        </w:rPr>
        <w:t>人，持证专业护理人才300余人，具有等级资质的医疗人才15人</w:t>
      </w:r>
      <w:r>
        <w:rPr>
          <w:rFonts w:hint="eastAsia" w:ascii="Times New Roman" w:hAnsi="Times New Roman" w:eastAsia="方正仿宋_GBK"/>
          <w:sz w:val="32"/>
          <w:szCs w:val="32"/>
        </w:rPr>
        <w:t>，着力打造专业护工品牌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（二）开展养老机构星级评定。</w:t>
      </w:r>
      <w:r>
        <w:rPr>
          <w:rFonts w:hint="eastAsia" w:ascii="Times New Roman" w:hAnsi="Times New Roman" w:eastAsia="方正仿宋_GBK"/>
          <w:sz w:val="32"/>
          <w:szCs w:val="32"/>
        </w:rPr>
        <w:t>成立云阳县养老机构等级评定委员会，积极通过购买服务方式</w:t>
      </w:r>
      <w:r>
        <w:rPr>
          <w:rFonts w:ascii="Times New Roman" w:hAnsi="Times New Roman" w:eastAsia="方正仿宋_GBK"/>
          <w:sz w:val="32"/>
          <w:szCs w:val="32"/>
        </w:rPr>
        <w:t>对养老机构开展服务质量评估</w:t>
      </w:r>
      <w:r>
        <w:rPr>
          <w:rFonts w:hint="eastAsia" w:ascii="Times New Roman" w:hAnsi="Times New Roman" w:eastAsia="方正仿宋_GBK"/>
          <w:sz w:val="32"/>
          <w:szCs w:val="32"/>
        </w:rPr>
        <w:t>。截至2023年底，全县一星级养老机构达到20家、二星级养老机构达到12家。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（三）加强养老机构提能升级改造。</w:t>
      </w:r>
      <w:r>
        <w:rPr>
          <w:rFonts w:hint="eastAsia" w:ascii="Times New Roman" w:hAnsi="Times New Roman" w:eastAsia="方正仿宋_GBK"/>
          <w:sz w:val="32"/>
          <w:szCs w:val="32"/>
        </w:rPr>
        <w:t>自2020年以来，借助社区养老服务设施建设全覆盖契机，筹措资金3000余万元，对全县乡镇敬老院硬件进行了全新改造，增添了服务设施和设备，较好地满足了特困老年人养老服务所需。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此复函已经</w:t>
      </w:r>
      <w:r>
        <w:rPr>
          <w:rFonts w:hint="eastAsia" w:ascii="Times New Roman" w:hAnsi="Times New Roman" w:eastAsia="方正仿宋_GBK"/>
          <w:sz w:val="32"/>
          <w:szCs w:val="32"/>
        </w:rPr>
        <w:t>彭盾军</w:t>
      </w:r>
      <w:r>
        <w:rPr>
          <w:rFonts w:ascii="Times New Roman" w:hAnsi="Times New Roman" w:eastAsia="方正仿宋_GBK"/>
          <w:sz w:val="32"/>
          <w:szCs w:val="32"/>
        </w:rPr>
        <w:t>局长审签。对以上答复您有什么意见，请填写在回执上寄给县政协提案委，以便进一步改进工作。</w:t>
      </w:r>
      <w:r>
        <w:rPr>
          <w:rFonts w:hint="eastAsia" w:ascii="Times New Roman" w:hAnsi="Times New Roman" w:eastAsia="方正仿宋_GBK"/>
          <w:sz w:val="32"/>
          <w:szCs w:val="32"/>
        </w:rPr>
        <w:t>真诚感谢您一直以来对民政工作的关心、理解、帮助和支持！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云阳县民政局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年6月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（联系电话：13668499001，联系人：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邹佳君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840" w:leftChars="0" w:hanging="840" w:hangingChars="3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ascii="Times New Roman" w:hAnsi="Times New Roma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抄送：</w:t>
      </w:r>
      <w:r>
        <w:rPr>
          <w:rFonts w:hint="eastAsia" w:ascii="Times New Roman" w:hAnsi="Times New Roman" w:eastAsia="方正仿宋_GBK"/>
          <w:sz w:val="28"/>
          <w:szCs w:val="28"/>
        </w:rPr>
        <w:t>县委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办公室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方正仿宋_GBK"/>
          <w:sz w:val="28"/>
          <w:szCs w:val="28"/>
        </w:rPr>
        <w:t>县政府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办公室</w:t>
      </w:r>
      <w:r>
        <w:rPr>
          <w:rFonts w:hint="eastAsia" w:ascii="Times New Roman" w:hAnsi="Times New Roman" w:eastAsia="方正仿宋_GBK"/>
          <w:sz w:val="28"/>
          <w:szCs w:val="28"/>
        </w:rPr>
        <w:t>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县政协提案委。</w:t>
      </w:r>
    </w:p>
    <w:sectPr>
      <w:footerReference r:id="rId4" w:type="first"/>
      <w:footerReference r:id="rId3" w:type="default"/>
      <w:pgSz w:w="11906" w:h="16838"/>
      <w:pgMar w:top="2098" w:right="1531" w:bottom="1984" w:left="1531" w:header="851" w:footer="340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大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5" o:spid="_x0000_s102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ind w:left="210" w:leftChars="100" w:right="210" w:rightChars="100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4</w:t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ind w:left="210" w:leftChars="100" w:right="210" w:rightChars="100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mYTdmYmMyOTY1N2E5YmMyOWE5MDBmMWE5Njc1ZTgifQ=="/>
  </w:docVars>
  <w:rsids>
    <w:rsidRoot w:val="00BF773C"/>
    <w:rsid w:val="00205D98"/>
    <w:rsid w:val="00405E43"/>
    <w:rsid w:val="004531C7"/>
    <w:rsid w:val="00642F17"/>
    <w:rsid w:val="006F35E0"/>
    <w:rsid w:val="00735211"/>
    <w:rsid w:val="00792697"/>
    <w:rsid w:val="00980889"/>
    <w:rsid w:val="009D0C50"/>
    <w:rsid w:val="00B64BA2"/>
    <w:rsid w:val="00B825CA"/>
    <w:rsid w:val="00BF773C"/>
    <w:rsid w:val="00C97F5B"/>
    <w:rsid w:val="00CA5976"/>
    <w:rsid w:val="00CD1868"/>
    <w:rsid w:val="021A6C4F"/>
    <w:rsid w:val="100C704E"/>
    <w:rsid w:val="14AB7BDB"/>
    <w:rsid w:val="1D54628B"/>
    <w:rsid w:val="1D7D6DB1"/>
    <w:rsid w:val="212B1559"/>
    <w:rsid w:val="339C4E66"/>
    <w:rsid w:val="358D56E8"/>
    <w:rsid w:val="43FA24D3"/>
    <w:rsid w:val="4F87F304"/>
    <w:rsid w:val="5B6D2BE3"/>
    <w:rsid w:val="6045400C"/>
    <w:rsid w:val="62134C46"/>
    <w:rsid w:val="62BE6020"/>
    <w:rsid w:val="65CE7E1D"/>
    <w:rsid w:val="66001704"/>
    <w:rsid w:val="7653728B"/>
    <w:rsid w:val="7CAD4681"/>
    <w:rsid w:val="7F7F0673"/>
    <w:rsid w:val="BFEF6ABD"/>
    <w:rsid w:val="DFEEE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9"/>
    <w:semiHidden/>
    <w:unhideWhenUsed/>
    <w:qFormat/>
    <w:uiPriority w:val="99"/>
    <w:pPr>
      <w:spacing w:after="120" w:line="480" w:lineRule="auto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2 Char"/>
    <w:basedOn w:val="6"/>
    <w:link w:val="2"/>
    <w:semiHidden/>
    <w:qFormat/>
    <w:uiPriority w:val="99"/>
    <w:rPr>
      <w:rFonts w:ascii="Times New Roman" w:hAnsi="Times New Roman" w:eastAsia="宋体" w:cs="Times New Roman"/>
    </w:rPr>
  </w:style>
  <w:style w:type="paragraph" w:customStyle="1" w:styleId="10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1595</Words>
  <Characters>1675</Characters>
  <Lines>12</Lines>
  <Paragraphs>3</Paragraphs>
  <TotalTime>2</TotalTime>
  <ScaleCrop>false</ScaleCrop>
  <LinksUpToDate>false</LinksUpToDate>
  <CharactersWithSpaces>1736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2024-05-29T09:21:00Z</dcterms:created>
  <dc:creator>Windows 用户</dc:creator>
  <cp:lastModifiedBy>m202</cp:lastModifiedBy>
  <cp:lastPrinted>2025-06-27T10:33:25Z</cp:lastPrinted>
  <dcterms:modified xsi:type="dcterms:W3CDTF">2025-06-27T10:33:31Z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2D6DF2B11E4B43DEAC1E20A144E532DB_12</vt:lpwstr>
  </property>
  <property fmtid="{D5CDD505-2E9C-101B-9397-08002B2CF9AE}" pid="4" name="KSOTemplateDocerSaveRecord">
    <vt:lpwstr>eyJoZGlkIjoiNjliNTg0ZTRiNGY0YjYxMDQwNjM5ZDMzN2YwNmFkMTgiLCJ1c2VySWQiOiIyNjQ0Mzg2MTgifQ==</vt:lpwstr>
  </property>
</Properties>
</file>