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BD0A5">
      <w:pPr>
        <w:widowControl/>
        <w:spacing w:line="580" w:lineRule="exact"/>
        <w:jc w:val="center"/>
        <w:rPr>
          <w:rFonts w:hint="eastAsia" w:ascii="Times New Roman" w:hAnsi="Times New Roman" w:eastAsia="仿宋" w:cs="宋体"/>
          <w:kern w:val="0"/>
          <w:sz w:val="32"/>
          <w:szCs w:val="32"/>
        </w:rPr>
      </w:pPr>
    </w:p>
    <w:p w14:paraId="377DC754">
      <w:pPr>
        <w:widowControl/>
        <w:spacing w:line="580" w:lineRule="exact"/>
        <w:jc w:val="center"/>
        <w:rPr>
          <w:rFonts w:ascii="Times New Roman" w:hAnsi="Times New Roman" w:eastAsia="仿宋" w:cs="宋体"/>
          <w:kern w:val="0"/>
          <w:sz w:val="32"/>
          <w:szCs w:val="32"/>
        </w:rPr>
      </w:pPr>
    </w:p>
    <w:p w14:paraId="0D216C8A">
      <w:pPr>
        <w:widowControl/>
        <w:spacing w:line="580" w:lineRule="exact"/>
        <w:jc w:val="center"/>
        <w:rPr>
          <w:rFonts w:ascii="Times New Roman" w:hAnsi="Times New Roman" w:eastAsia="仿宋" w:cs="宋体"/>
          <w:kern w:val="0"/>
          <w:sz w:val="32"/>
          <w:szCs w:val="32"/>
        </w:rPr>
      </w:pPr>
      <w:r>
        <w:rPr>
          <w:rFonts w:ascii="Times New Roman" w:hAnsi="Times New Roman"/>
          <w:sz w:val="24"/>
          <w:szCs w:val="24"/>
        </w:rPr>
        <w:pict>
          <v:shape id="_x0000_s1030" o:spid="_x0000_s1030" o:spt="136" type="#_x0000_t136" style="position:absolute;left:0pt;margin-left:-2.6pt;margin-top:23.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6B3CF7AF">
      <w:pPr>
        <w:widowControl/>
        <w:spacing w:line="580" w:lineRule="exact"/>
        <w:jc w:val="center"/>
        <w:rPr>
          <w:rFonts w:ascii="Times New Roman" w:hAnsi="Times New Roman" w:eastAsia="仿宋" w:cs="宋体"/>
          <w:kern w:val="0"/>
          <w:sz w:val="32"/>
          <w:szCs w:val="32"/>
        </w:rPr>
      </w:pPr>
    </w:p>
    <w:p w14:paraId="1B5AB692">
      <w:pPr>
        <w:widowControl/>
        <w:spacing w:line="580" w:lineRule="exact"/>
        <w:jc w:val="center"/>
        <w:rPr>
          <w:rFonts w:ascii="Times New Roman" w:hAnsi="Times New Roman" w:eastAsia="仿宋" w:cs="宋体"/>
          <w:kern w:val="0"/>
          <w:sz w:val="32"/>
          <w:szCs w:val="32"/>
        </w:rPr>
      </w:pPr>
    </w:p>
    <w:p w14:paraId="69EC4F49">
      <w:pPr>
        <w:widowControl/>
        <w:spacing w:line="580" w:lineRule="exact"/>
        <w:jc w:val="center"/>
        <w:rPr>
          <w:rFonts w:ascii="Times New Roman" w:hAnsi="Times New Roman" w:eastAsia="仿宋" w:cs="宋体"/>
          <w:kern w:val="0"/>
          <w:sz w:val="32"/>
          <w:szCs w:val="32"/>
        </w:rPr>
      </w:pPr>
    </w:p>
    <w:p w14:paraId="13E48D00">
      <w:pPr>
        <w:widowControl/>
        <w:jc w:val="center"/>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云</w:t>
      </w:r>
      <w:r>
        <w:rPr>
          <w:rFonts w:hint="eastAsia" w:ascii="Times New Roman" w:hAnsi="Times New Roman" w:eastAsia="方正仿宋_GBK" w:cs="宋体"/>
          <w:kern w:val="0"/>
          <w:sz w:val="32"/>
          <w:szCs w:val="32"/>
          <w:lang w:eastAsia="zh-CN"/>
        </w:rPr>
        <w:t>阳</w:t>
      </w:r>
      <w:r>
        <w:rPr>
          <w:rFonts w:hint="eastAsia" w:ascii="Times New Roman" w:hAnsi="Times New Roman" w:eastAsia="方正仿宋_GBK" w:cs="宋体"/>
          <w:kern w:val="0"/>
          <w:sz w:val="32"/>
          <w:szCs w:val="32"/>
        </w:rPr>
        <w:t>发改价〔20</w:t>
      </w:r>
      <w:r>
        <w:rPr>
          <w:rFonts w:hint="eastAsia" w:ascii="Times New Roman" w:hAnsi="Times New Roman" w:eastAsia="方正仿宋_GBK" w:cs="宋体"/>
          <w:kern w:val="0"/>
          <w:sz w:val="32"/>
          <w:szCs w:val="32"/>
          <w:lang w:val="en-US" w:eastAsia="zh-CN"/>
        </w:rPr>
        <w:t>24</w:t>
      </w:r>
      <w:r>
        <w:rPr>
          <w:rFonts w:hint="eastAsia" w:ascii="Times New Roman" w:hAnsi="Times New Roman" w:eastAsia="方正仿宋_GBK" w:cs="宋体"/>
          <w:kern w:val="0"/>
          <w:sz w:val="32"/>
          <w:szCs w:val="32"/>
        </w:rPr>
        <w:t>〕</w:t>
      </w:r>
      <w:r>
        <w:rPr>
          <w:rFonts w:hint="eastAsia" w:ascii="Times New Roman" w:hAnsi="Times New Roman" w:eastAsia="方正仿宋_GBK" w:cs="宋体"/>
          <w:kern w:val="0"/>
          <w:sz w:val="32"/>
          <w:szCs w:val="32"/>
          <w:lang w:val="en-US" w:eastAsia="zh-CN"/>
        </w:rPr>
        <w:t>552</w:t>
      </w:r>
      <w:r>
        <w:rPr>
          <w:rFonts w:hint="eastAsia" w:ascii="Times New Roman" w:hAnsi="Times New Roman" w:eastAsia="方正仿宋_GBK" w:cs="宋体"/>
          <w:kern w:val="0"/>
          <w:sz w:val="32"/>
          <w:szCs w:val="32"/>
        </w:rPr>
        <w:t>号</w:t>
      </w:r>
    </w:p>
    <w:p w14:paraId="04166D10">
      <w:pPr>
        <w:widowControl/>
        <w:spacing w:line="540" w:lineRule="exact"/>
        <w:jc w:val="center"/>
        <w:rPr>
          <w:rFonts w:ascii="Times New Roman" w:hAnsi="Times New Roman" w:eastAsia="仿宋" w:cs="宋体"/>
          <w:kern w:val="0"/>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28575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pt;margin-top:2.25pt;height:1.45pt;width:437.4pt;z-index:251661312;mso-width-relative:page;mso-height-relative:page;" filled="f" stroked="t" coordsize="21600,21600" o:gfxdata="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SwdBNcAAAAFAQAADwAAAAAAAAAB&#10;ACAAAAAiAAAAZHJzL2Rvd25yZXYueG1sUEsBAhQAFAAAAAgAh07iQPi9tmwRAgAADQQAAA4AAAAA&#10;AAAAAQAgAAAAJgEAAGRycy9lMm9Eb2MueG1sUEsFBgAAAAAGAAYAWQEAAKkFAAAAAA==&#10;">
                <v:fill on="f" focussize="0,0"/>
                <v:stroke weight="2.25pt" color="#FF0000" joinstyle="round"/>
                <v:imagedata o:title=""/>
                <o:lock v:ext="edit" aspectratio="f"/>
              </v:line>
            </w:pict>
          </mc:Fallback>
        </mc:AlternateContent>
      </w:r>
    </w:p>
    <w:p w14:paraId="0CC976B8">
      <w:pPr>
        <w:widowControl/>
        <w:spacing w:line="540" w:lineRule="exact"/>
        <w:jc w:val="center"/>
        <w:rPr>
          <w:rFonts w:ascii="Times New Roman" w:hAnsi="Times New Roman" w:eastAsia="仿宋" w:cs="宋体"/>
          <w:kern w:val="0"/>
          <w:sz w:val="32"/>
          <w:szCs w:val="32"/>
        </w:rPr>
      </w:pPr>
    </w:p>
    <w:tbl>
      <w:tblPr>
        <w:tblStyle w:val="4"/>
        <w:tblW w:w="5700" w:type="dxa"/>
        <w:tblInd w:w="1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0"/>
      </w:tblGrid>
      <w:tr w14:paraId="2B0C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700" w:type="dxa"/>
            <w:tcBorders>
              <w:top w:val="nil"/>
              <w:left w:val="nil"/>
              <w:bottom w:val="nil"/>
              <w:right w:val="nil"/>
            </w:tcBorders>
          </w:tcPr>
          <w:p w14:paraId="39392353">
            <w:pPr>
              <w:spacing w:line="720" w:lineRule="exact"/>
              <w:jc w:val="distribute"/>
              <w:rPr>
                <w:rFonts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云阳县发展和改革委员会</w:t>
            </w:r>
          </w:p>
          <w:p w14:paraId="5D10C188">
            <w:pPr>
              <w:spacing w:line="720" w:lineRule="exact"/>
              <w:jc w:val="distribute"/>
              <w:rPr>
                <w:rFonts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云阳县民政局</w:t>
            </w:r>
          </w:p>
        </w:tc>
      </w:tr>
    </w:tbl>
    <w:p w14:paraId="3140A673">
      <w:pPr>
        <w:widowControl/>
        <w:spacing w:line="720" w:lineRule="exact"/>
        <w:jc w:val="center"/>
        <w:rPr>
          <w:rFonts w:hint="eastAsia"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关于</w:t>
      </w:r>
      <w:r>
        <w:rPr>
          <w:rFonts w:hint="eastAsia" w:ascii="Times New Roman" w:hAnsi="Times New Roman" w:eastAsia="方正小标宋_GBK" w:cs="宋体"/>
          <w:kern w:val="0"/>
          <w:sz w:val="44"/>
          <w:szCs w:val="44"/>
          <w:lang w:eastAsia="zh-CN"/>
        </w:rPr>
        <w:t>进一步规范云阳</w:t>
      </w:r>
      <w:r>
        <w:rPr>
          <w:rFonts w:hint="eastAsia" w:ascii="Times New Roman" w:hAnsi="Times New Roman" w:eastAsia="方正小标宋_GBK" w:cs="宋体"/>
          <w:kern w:val="0"/>
          <w:sz w:val="44"/>
          <w:szCs w:val="44"/>
        </w:rPr>
        <w:t>县殡葬基本服务收费</w:t>
      </w:r>
    </w:p>
    <w:p w14:paraId="63E10589">
      <w:pPr>
        <w:widowControl/>
        <w:spacing w:line="720" w:lineRule="exact"/>
        <w:jc w:val="center"/>
        <w:rPr>
          <w:rFonts w:ascii="Times New Roman" w:hAnsi="Times New Roman" w:eastAsia="方正小标宋_GBK" w:cs="宋体"/>
          <w:kern w:val="0"/>
          <w:sz w:val="44"/>
          <w:szCs w:val="44"/>
        </w:rPr>
      </w:pPr>
      <w:r>
        <w:rPr>
          <w:rFonts w:hint="eastAsia" w:ascii="Times New Roman" w:hAnsi="Times New Roman" w:eastAsia="方正小标宋_GBK" w:cs="宋体"/>
          <w:kern w:val="0"/>
          <w:sz w:val="44"/>
          <w:szCs w:val="44"/>
        </w:rPr>
        <w:t>项目和收费标准及有关事项的通知</w:t>
      </w:r>
    </w:p>
    <w:p w14:paraId="16DE6037">
      <w:pPr>
        <w:widowControl/>
        <w:spacing w:line="578" w:lineRule="exact"/>
        <w:rPr>
          <w:rFonts w:ascii="Times New Roman" w:hAnsi="Times New Roman" w:eastAsia="方正仿宋_GBK" w:cs="宋体"/>
          <w:kern w:val="0"/>
          <w:sz w:val="32"/>
          <w:szCs w:val="32"/>
        </w:rPr>
      </w:pPr>
    </w:p>
    <w:p w14:paraId="4A406148">
      <w:pPr>
        <w:keepNext w:val="0"/>
        <w:keepLines w:val="0"/>
        <w:pageBreakBefore w:val="0"/>
        <w:widowControl/>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云阳县云辉殡葬服务管理中心：</w:t>
      </w:r>
    </w:p>
    <w:p w14:paraId="3047A46F">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你中心《关于治丧守灵厅收费标准延期执行的请示》（云辉殡服中心〔2024〕3号）和《关于基本服务收费项目和收费标准延期执行的请示》（云辉殡服中心〔2024〕4号）收悉。按照《重庆市殡葬收费管理暂行办法》（渝办发〔2012〕149号）的相关要求，根据《重庆市物价局重庆市民政局</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关于进一步加强殡葬收费管理工作的通知</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》（渝价〔2013〕157号）、《重庆市殡葬业违规收费问题专项整治工作方案》（渝民〔</w:t>
      </w:r>
      <w:r>
        <w:rPr>
          <w:rFonts w:hint="default"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88</w:t>
      </w:r>
      <w:r>
        <w:rPr>
          <w:rFonts w:hint="eastAsia" w:ascii="Times New Roman" w:hAnsi="Times New Roman" w:eastAsia="方正仿宋_GBK" w:cs="Times New Roman"/>
          <w:sz w:val="32"/>
          <w:szCs w:val="32"/>
          <w:lang w:val="en-US" w:eastAsia="zh-CN"/>
        </w:rPr>
        <w:t>号）等文</w:t>
      </w:r>
      <w:r>
        <w:rPr>
          <w:rFonts w:hint="eastAsia" w:ascii="Times New Roman" w:hAnsi="Times New Roman" w:eastAsia="方正仿宋_GBK" w:cs="Times New Roman"/>
          <w:sz w:val="32"/>
          <w:szCs w:val="32"/>
          <w:lang w:eastAsia="zh-CN"/>
        </w:rPr>
        <w:t>件精神，结合我县实际，对原来印发的《关于云阳县殡仪服务管理中心（福寿堂）收费标准的批复》（云发改价〔2011〕504号）和《</w:t>
      </w:r>
      <w:r>
        <w:rPr>
          <w:rFonts w:hint="eastAsia" w:ascii="Times New Roman" w:hAnsi="Times New Roman" w:eastAsia="方正仿宋_GBK" w:cs="Times New Roman"/>
          <w:sz w:val="32"/>
          <w:szCs w:val="32"/>
        </w:rPr>
        <w:t>关于县殡葬服务管理中心基本服务收费项目和收费标准及有关事项的通知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云发改价〔2013〕754号</w:t>
      </w:r>
      <w:r>
        <w:rPr>
          <w:rFonts w:hint="eastAsia" w:ascii="Times New Roman" w:hAnsi="Times New Roman" w:eastAsia="方正仿宋_GBK" w:cs="Times New Roman"/>
          <w:sz w:val="32"/>
          <w:szCs w:val="32"/>
          <w:lang w:eastAsia="zh-CN"/>
        </w:rPr>
        <w:t>）进行认真</w:t>
      </w:r>
      <w:r>
        <w:rPr>
          <w:rFonts w:hint="default" w:ascii="Times New Roman" w:hAnsi="Times New Roman" w:eastAsia="方正仿宋_GBK" w:cs="Times New Roman"/>
          <w:sz w:val="32"/>
          <w:szCs w:val="32"/>
          <w:lang w:eastAsia="zh-CN"/>
          <w:woUserID w:val="2"/>
        </w:rPr>
        <w:t>清理</w:t>
      </w:r>
      <w:r>
        <w:rPr>
          <w:rFonts w:hint="eastAsia" w:ascii="Times New Roman" w:hAnsi="Times New Roman" w:eastAsia="方正仿宋_GBK" w:cs="Times New Roman"/>
          <w:sz w:val="32"/>
          <w:szCs w:val="32"/>
          <w:lang w:eastAsia="zh-CN"/>
        </w:rPr>
        <w:t>，进一步规范云阳县殡葬基本服务收费项目和收费标准，现就有关事项通知如下：</w:t>
      </w:r>
    </w:p>
    <w:p w14:paraId="6F4245A6">
      <w:pPr>
        <w:widowControl/>
        <w:spacing w:line="578"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hint="eastAsia" w:ascii="Times New Roman" w:hAnsi="Times New Roman" w:eastAsia="方正仿宋_GBK" w:cs="Times New Roman"/>
          <w:sz w:val="32"/>
          <w:szCs w:val="32"/>
          <w:lang w:val="en-US" w:eastAsia="zh-CN"/>
        </w:rPr>
        <w:t>云阳县</w:t>
      </w:r>
      <w:r>
        <w:rPr>
          <w:rFonts w:hint="eastAsia" w:ascii="Times New Roman" w:hAnsi="Times New Roman" w:eastAsia="方正仿宋_GBK" w:cs="Times New Roman"/>
          <w:sz w:val="32"/>
          <w:szCs w:val="32"/>
          <w:lang w:eastAsia="zh-CN"/>
        </w:rPr>
        <w:t>殡葬</w:t>
      </w:r>
      <w:r>
        <w:rPr>
          <w:rFonts w:hint="eastAsia" w:ascii="Times New Roman" w:hAnsi="Times New Roman" w:eastAsia="方正仿宋_GBK" w:cs="Times New Roman"/>
          <w:sz w:val="32"/>
          <w:szCs w:val="32"/>
        </w:rPr>
        <w:t>基本服务收费项目及收费标准详见附件。</w:t>
      </w:r>
    </w:p>
    <w:p w14:paraId="42A4F6D6">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二、公益性公墓的墓位（格位）价格和管理费，待新公墓建成后一并另行制定。</w:t>
      </w:r>
    </w:p>
    <w:p w14:paraId="6461FC7B">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w:t>
      </w:r>
      <w:r>
        <w:rPr>
          <w:rFonts w:hint="eastAsia" w:ascii="Times New Roman" w:hAnsi="Times New Roman" w:eastAsia="方正仿宋_GBK" w:cs="Times New Roman"/>
          <w:sz w:val="32"/>
          <w:szCs w:val="32"/>
        </w:rPr>
        <w:t>、殡葬非基本服务项目是指殡葬基本服务项目以外、群众自愿选择的其他殡葬服务收费项目，实行市场调节价。</w:t>
      </w:r>
      <w:r>
        <w:rPr>
          <w:rFonts w:hint="eastAsia" w:ascii="Times New Roman" w:hAnsi="Times New Roman" w:eastAsia="方正仿宋_GBK" w:cs="Times New Roman"/>
          <w:sz w:val="32"/>
          <w:szCs w:val="32"/>
          <w:lang w:eastAsia="zh-CN"/>
        </w:rPr>
        <w:t>严格执行《</w:t>
      </w:r>
      <w:r>
        <w:rPr>
          <w:rFonts w:hint="eastAsia" w:ascii="Times New Roman" w:hAnsi="Times New Roman" w:eastAsia="方正仿宋_GBK" w:cs="Times New Roman"/>
          <w:sz w:val="32"/>
          <w:szCs w:val="32"/>
          <w:lang w:val="en-US" w:eastAsia="zh-CN"/>
        </w:rPr>
        <w:t>云阳县殡葬非基本服务项目目录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，你中心</w:t>
      </w:r>
      <w:r>
        <w:rPr>
          <w:rFonts w:hint="eastAsia" w:ascii="Times New Roman" w:hAnsi="Times New Roman" w:eastAsia="方正仿宋_GBK" w:cs="Times New Roman"/>
          <w:sz w:val="32"/>
          <w:szCs w:val="32"/>
          <w:lang w:eastAsia="zh-CN"/>
        </w:rPr>
        <w:t>根据自身服务能力，结合当地习惯和消费者承受能力等因素，</w:t>
      </w:r>
      <w:r>
        <w:rPr>
          <w:rFonts w:hint="eastAsia" w:ascii="Times New Roman" w:hAnsi="Times New Roman" w:eastAsia="方正仿宋_GBK" w:cs="Times New Roman"/>
          <w:sz w:val="32"/>
          <w:szCs w:val="32"/>
        </w:rPr>
        <w:t>按市场</w:t>
      </w:r>
      <w:r>
        <w:rPr>
          <w:rFonts w:hint="eastAsia" w:ascii="Times New Roman" w:hAnsi="Times New Roman" w:eastAsia="方正仿宋_GBK" w:cs="Times New Roman"/>
          <w:sz w:val="32"/>
          <w:szCs w:val="32"/>
          <w:lang w:eastAsia="zh-CN"/>
        </w:rPr>
        <w:t>需</w:t>
      </w:r>
      <w:r>
        <w:rPr>
          <w:rFonts w:hint="eastAsia" w:ascii="Times New Roman" w:hAnsi="Times New Roman" w:eastAsia="方正仿宋_GBK" w:cs="Times New Roman"/>
          <w:sz w:val="32"/>
          <w:szCs w:val="32"/>
        </w:rPr>
        <w:t>求自</w:t>
      </w:r>
      <w:r>
        <w:rPr>
          <w:rFonts w:hint="eastAsia" w:ascii="Times New Roman" w:hAnsi="Times New Roman" w:eastAsia="方正仿宋_GBK" w:cs="Times New Roman"/>
          <w:sz w:val="32"/>
          <w:szCs w:val="32"/>
          <w:lang w:eastAsia="zh-CN"/>
        </w:rPr>
        <w:t>行</w:t>
      </w:r>
      <w:r>
        <w:rPr>
          <w:rFonts w:hint="eastAsia" w:ascii="Times New Roman" w:hAnsi="Times New Roman" w:eastAsia="方正仿宋_GBK" w:cs="Times New Roman"/>
          <w:sz w:val="32"/>
          <w:szCs w:val="32"/>
        </w:rPr>
        <w:t>制定收费标准，报县民政局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县发</w:t>
      </w:r>
      <w:r>
        <w:rPr>
          <w:rFonts w:hint="eastAsia" w:ascii="Times New Roman" w:hAnsi="Times New Roman" w:eastAsia="方正仿宋_GBK" w:cs="Times New Roman"/>
          <w:sz w:val="32"/>
          <w:szCs w:val="32"/>
          <w:lang w:eastAsia="zh-CN"/>
        </w:rPr>
        <w:t>展</w:t>
      </w:r>
      <w:r>
        <w:rPr>
          <w:rFonts w:hint="eastAsia" w:ascii="Times New Roman" w:hAnsi="Times New Roman" w:eastAsia="方正仿宋_GBK" w:cs="Times New Roman"/>
          <w:sz w:val="32"/>
          <w:szCs w:val="32"/>
        </w:rPr>
        <w:t>改</w:t>
      </w:r>
      <w:r>
        <w:rPr>
          <w:rFonts w:hint="eastAsia" w:ascii="Times New Roman" w:hAnsi="Times New Roman" w:eastAsia="方正仿宋_GBK" w:cs="Times New Roman"/>
          <w:sz w:val="32"/>
          <w:szCs w:val="32"/>
          <w:lang w:eastAsia="zh-CN"/>
        </w:rPr>
        <w:t>革</w:t>
      </w:r>
      <w:r>
        <w:rPr>
          <w:rFonts w:hint="eastAsia" w:ascii="Times New Roman" w:hAnsi="Times New Roman" w:eastAsia="方正仿宋_GBK" w:cs="Times New Roman"/>
          <w:sz w:val="32"/>
          <w:szCs w:val="32"/>
        </w:rPr>
        <w:t>委备案后实施。</w:t>
      </w:r>
    </w:p>
    <w:p w14:paraId="141831D9">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rPr>
        <w:t>、所有殡葬服务项目和丧葬用品的名称、计价单位、价格标准、租用期限，必须在服务委托书及清单中明确标示，供用户自主选择，由双方协商一致后签订服务委托书，并据此向用户收取费用和提供收费结算清单以及规定票据。</w:t>
      </w:r>
    </w:p>
    <w:p w14:paraId="135425EA">
      <w:pPr>
        <w:widowControl/>
        <w:spacing w:line="578" w:lineRule="exact"/>
        <w:ind w:firstLine="645"/>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rPr>
        <w:t>、你中心所有服务项目应按照明码标价的相关规定，在收费处醒目位置公示计价单位、收费标准、文件依据、价格投诉举报电话等内容，自觉接受</w:t>
      </w:r>
      <w:r>
        <w:rPr>
          <w:rFonts w:hint="eastAsia" w:ascii="Times New Roman" w:hAnsi="Times New Roman" w:eastAsia="方正仿宋_GBK" w:cs="Times New Roman"/>
          <w:sz w:val="32"/>
          <w:szCs w:val="32"/>
          <w:lang w:eastAsia="zh-CN"/>
        </w:rPr>
        <w:t>发改</w:t>
      </w:r>
      <w:r>
        <w:rPr>
          <w:rFonts w:hint="eastAsia"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eastAsia="zh-CN"/>
        </w:rPr>
        <w:t>市场监管等部门和</w:t>
      </w:r>
      <w:r>
        <w:rPr>
          <w:rFonts w:hint="eastAsia" w:ascii="Times New Roman" w:hAnsi="Times New Roman" w:eastAsia="方正仿宋_GBK" w:cs="Times New Roman"/>
          <w:sz w:val="32"/>
          <w:szCs w:val="32"/>
        </w:rPr>
        <w:t>社会各界的监督。</w:t>
      </w:r>
    </w:p>
    <w:p w14:paraId="20710EE1">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六</w:t>
      </w:r>
      <w:r>
        <w:rPr>
          <w:rFonts w:hint="eastAsia" w:ascii="Times New Roman" w:hAnsi="Times New Roman" w:eastAsia="方正仿宋_GBK" w:cs="Times New Roman"/>
          <w:sz w:val="32"/>
          <w:szCs w:val="32"/>
        </w:rPr>
        <w:t>、你中心要建立健全收费管理制度，自觉执行国家殡葬服务收费政策，对民政救济对象等困难群众应适当优惠，严禁在收费标准外乱加价。对违反国家殡葬收费法律法规和本通知的行为，</w:t>
      </w:r>
      <w:r>
        <w:rPr>
          <w:rFonts w:hint="eastAsia" w:ascii="Times New Roman" w:hAnsi="Times New Roman" w:eastAsia="方正仿宋_GBK" w:cs="Times New Roman"/>
          <w:sz w:val="32"/>
          <w:szCs w:val="32"/>
          <w:lang w:eastAsia="zh-CN"/>
        </w:rPr>
        <w:t>发改</w:t>
      </w:r>
      <w:r>
        <w:rPr>
          <w:rFonts w:hint="eastAsia"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eastAsia="zh-CN"/>
        </w:rPr>
        <w:t>、市场监管</w:t>
      </w:r>
      <w:r>
        <w:rPr>
          <w:rFonts w:hint="eastAsia" w:ascii="Times New Roman" w:hAnsi="Times New Roman" w:eastAsia="方正仿宋_GBK" w:cs="Times New Roman"/>
          <w:sz w:val="32"/>
          <w:szCs w:val="32"/>
        </w:rPr>
        <w:t>部门将依据《中华人民共和国价格法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价格违法行为行政处罚规定》等法律法规及殡葬管理的相关规定严肃查处。</w:t>
      </w:r>
    </w:p>
    <w:p w14:paraId="5309A779">
      <w:pPr>
        <w:widowControl/>
        <w:spacing w:line="578" w:lineRule="exact"/>
        <w:ind w:firstLine="645"/>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七</w:t>
      </w:r>
      <w:r>
        <w:rPr>
          <w:rFonts w:hint="eastAsia" w:ascii="Times New Roman" w:hAnsi="Times New Roman" w:eastAsia="方正仿宋_GBK" w:cs="Times New Roman"/>
          <w:sz w:val="32"/>
          <w:szCs w:val="32"/>
        </w:rPr>
        <w:t>、本通知从</w:t>
      </w:r>
      <w:r>
        <w:rPr>
          <w:rFonts w:hint="eastAsia" w:ascii="Times New Roman" w:hAnsi="Times New Roman" w:eastAsia="方正仿宋_GBK" w:cs="Times New Roman"/>
          <w:sz w:val="32"/>
          <w:szCs w:val="32"/>
          <w:lang w:eastAsia="zh-CN"/>
        </w:rPr>
        <w:t>印发之日</w:t>
      </w:r>
      <w:r>
        <w:rPr>
          <w:rFonts w:hint="eastAsia" w:ascii="Times New Roman" w:hAnsi="Times New Roman" w:eastAsia="方正仿宋_GBK" w:cs="Times New Roman"/>
          <w:sz w:val="32"/>
          <w:szCs w:val="32"/>
        </w:rPr>
        <w:t>起</w:t>
      </w:r>
      <w:r>
        <w:rPr>
          <w:rFonts w:hint="eastAsia" w:ascii="Times New Roman" w:hAnsi="Times New Roman" w:eastAsia="方正仿宋_GBK" w:cs="Times New Roman"/>
          <w:sz w:val="32"/>
          <w:szCs w:val="32"/>
          <w:lang w:eastAsia="zh-CN"/>
        </w:rPr>
        <w:t>执行</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根据政策变动情况进行调整。原云发改价〔2011〕504号和</w:t>
      </w:r>
      <w:r>
        <w:rPr>
          <w:rFonts w:hint="eastAsia" w:ascii="Times New Roman" w:hAnsi="Times New Roman" w:eastAsia="方正仿宋_GBK" w:cs="Times New Roman"/>
          <w:sz w:val="32"/>
          <w:szCs w:val="32"/>
        </w:rPr>
        <w:t>云发改价〔2013〕754号</w:t>
      </w:r>
      <w:r>
        <w:rPr>
          <w:rFonts w:hint="eastAsia" w:ascii="Times New Roman" w:hAnsi="Times New Roman" w:eastAsia="方正仿宋_GBK" w:cs="Times New Roman"/>
          <w:sz w:val="32"/>
          <w:szCs w:val="32"/>
          <w:lang w:eastAsia="zh-CN"/>
        </w:rPr>
        <w:t>文件废止</w:t>
      </w:r>
      <w:r>
        <w:rPr>
          <w:rFonts w:hint="eastAsia" w:ascii="Times New Roman" w:hAnsi="Times New Roman" w:eastAsia="方正仿宋_GBK" w:cs="Times New Roman"/>
          <w:sz w:val="32"/>
          <w:szCs w:val="32"/>
        </w:rPr>
        <w:t>。</w:t>
      </w:r>
    </w:p>
    <w:p w14:paraId="1F38FD60">
      <w:pPr>
        <w:widowControl/>
        <w:spacing w:line="578" w:lineRule="exact"/>
        <w:ind w:firstLine="645"/>
        <w:jc w:val="left"/>
        <w:rPr>
          <w:rFonts w:ascii="Times New Roman" w:hAnsi="Times New Roman" w:eastAsia="方正仿宋_GBK" w:cs="Times New Roman"/>
          <w:sz w:val="32"/>
          <w:szCs w:val="32"/>
        </w:rPr>
      </w:pPr>
    </w:p>
    <w:p w14:paraId="00D67F60">
      <w:pPr>
        <w:widowControl/>
        <w:spacing w:line="578" w:lineRule="exact"/>
        <w:ind w:left="1598" w:leftChars="304" w:hanging="960" w:hangingChars="300"/>
        <w:jc w:val="left"/>
        <w:rPr>
          <w:rFonts w:ascii="Times New Roman" w:hAnsi="Times New Roman" w:eastAsia="方正仿宋_GBK" w:cs="Times New Roman"/>
          <w:spacing w:val="-20"/>
          <w:sz w:val="32"/>
          <w:szCs w:val="32"/>
        </w:rPr>
      </w:pPr>
      <w:r>
        <w:rPr>
          <w:rFonts w:hint="eastAsia" w:ascii="Times New Roman" w:hAnsi="Times New Roman" w:eastAsia="方正仿宋_GBK" w:cs="Times New Roman"/>
          <w:sz w:val="32"/>
          <w:szCs w:val="32"/>
        </w:rPr>
        <w:t>附件：云阳县</w:t>
      </w:r>
      <w:r>
        <w:rPr>
          <w:rFonts w:hint="eastAsia" w:ascii="Times New Roman" w:hAnsi="Times New Roman" w:eastAsia="方正仿宋_GBK" w:cs="Times New Roman"/>
          <w:sz w:val="32"/>
          <w:szCs w:val="32"/>
          <w:lang w:eastAsia="zh-CN"/>
        </w:rPr>
        <w:t>殡葬</w:t>
      </w:r>
      <w:r>
        <w:rPr>
          <w:rFonts w:hint="eastAsia" w:ascii="Times New Roman" w:hAnsi="Times New Roman" w:eastAsia="方正仿宋_GBK" w:cs="Times New Roman"/>
          <w:sz w:val="32"/>
          <w:szCs w:val="32"/>
        </w:rPr>
        <w:t>基本服务收费项目及收费标准</w:t>
      </w:r>
    </w:p>
    <w:p w14:paraId="28ADC916">
      <w:pPr>
        <w:spacing w:line="578" w:lineRule="exact"/>
        <w:rPr>
          <w:rFonts w:ascii="Times New Roman" w:hAnsi="Times New Roman" w:eastAsia="方正仿宋_GBK" w:cs="Times New Roman"/>
          <w:sz w:val="32"/>
          <w:szCs w:val="32"/>
        </w:rPr>
      </w:pPr>
    </w:p>
    <w:p w14:paraId="326AA563">
      <w:pPr>
        <w:spacing w:line="578"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云阳县发展和改革委员会     云阳县民政局</w:t>
      </w:r>
    </w:p>
    <w:p w14:paraId="02941A66">
      <w:pPr>
        <w:spacing w:line="578" w:lineRule="exact"/>
        <w:ind w:firstLine="5760" w:firstLineChars="18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hint="eastAsia"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rPr>
        <w:t>日</w:t>
      </w:r>
    </w:p>
    <w:p w14:paraId="05498778">
      <w:pPr>
        <w:rPr>
          <w:rFonts w:ascii="Times New Roman" w:hAnsi="Times New Roman" w:eastAsia="方正黑体_GBK" w:cs="Times New Roman"/>
          <w:sz w:val="32"/>
          <w:szCs w:val="32"/>
        </w:rPr>
      </w:pPr>
    </w:p>
    <w:p w14:paraId="62310AA7">
      <w:pPr>
        <w:rPr>
          <w:rFonts w:ascii="Times New Roman" w:hAnsi="Times New Roman" w:eastAsia="方正黑体_GBK" w:cs="Times New Roman"/>
          <w:sz w:val="32"/>
          <w:szCs w:val="32"/>
        </w:rPr>
      </w:pPr>
    </w:p>
    <w:p w14:paraId="3FA8CE54">
      <w:pPr>
        <w:rPr>
          <w:rFonts w:hint="eastAsia" w:ascii="Times New Roman" w:hAnsi="Times New Roman" w:eastAsia="方正黑体_GBK" w:cs="Times New Roman"/>
          <w:sz w:val="32"/>
          <w:szCs w:val="32"/>
        </w:rPr>
      </w:pPr>
    </w:p>
    <w:p w14:paraId="59944F92">
      <w:pPr>
        <w:rPr>
          <w:rFonts w:hint="eastAsia" w:ascii="Times New Roman" w:hAnsi="Times New Roman" w:eastAsia="方正黑体_GBK" w:cs="Times New Roman"/>
          <w:sz w:val="32"/>
          <w:szCs w:val="32"/>
        </w:rPr>
      </w:pPr>
    </w:p>
    <w:p w14:paraId="6E10D1FF">
      <w:pPr>
        <w:rPr>
          <w:rFonts w:hint="eastAsia" w:ascii="Times New Roman" w:hAnsi="Times New Roman" w:eastAsia="方正黑体_GBK" w:cs="Times New Roman"/>
          <w:sz w:val="32"/>
          <w:szCs w:val="32"/>
        </w:rPr>
      </w:pPr>
    </w:p>
    <w:p w14:paraId="745D79F7">
      <w:pPr>
        <w:rPr>
          <w:rFonts w:hint="eastAsia" w:ascii="Times New Roman" w:hAnsi="Times New Roman" w:eastAsia="方正黑体_GBK" w:cs="Times New Roman"/>
          <w:sz w:val="32"/>
          <w:szCs w:val="32"/>
        </w:rPr>
      </w:pPr>
    </w:p>
    <w:tbl>
      <w:tblPr>
        <w:tblStyle w:val="4"/>
        <w:tblW w:w="9526" w:type="dxa"/>
        <w:jc w:val="center"/>
        <w:tblLayout w:type="fixed"/>
        <w:tblCellMar>
          <w:top w:w="0" w:type="dxa"/>
          <w:left w:w="108" w:type="dxa"/>
          <w:bottom w:w="0" w:type="dxa"/>
          <w:right w:w="108" w:type="dxa"/>
        </w:tblCellMar>
      </w:tblPr>
      <w:tblGrid>
        <w:gridCol w:w="3185"/>
        <w:gridCol w:w="1740"/>
        <w:gridCol w:w="1152"/>
        <w:gridCol w:w="3449"/>
      </w:tblGrid>
      <w:tr w14:paraId="5A503E2B">
        <w:tblPrEx>
          <w:tblCellMar>
            <w:top w:w="0" w:type="dxa"/>
            <w:left w:w="108" w:type="dxa"/>
            <w:bottom w:w="0" w:type="dxa"/>
            <w:right w:w="108" w:type="dxa"/>
          </w:tblCellMar>
        </w:tblPrEx>
        <w:trPr>
          <w:trHeight w:val="417" w:hRule="atLeast"/>
          <w:jc w:val="center"/>
        </w:trPr>
        <w:tc>
          <w:tcPr>
            <w:tcW w:w="9526" w:type="dxa"/>
            <w:gridSpan w:val="4"/>
            <w:tcBorders>
              <w:top w:val="nil"/>
              <w:left w:val="nil"/>
              <w:bottom w:val="nil"/>
              <w:right w:val="nil"/>
            </w:tcBorders>
            <w:shd w:val="clear" w:color="auto" w:fill="auto"/>
            <w:noWrap/>
            <w:vAlign w:val="center"/>
          </w:tcPr>
          <w:p w14:paraId="52C2F0C5">
            <w:pPr>
              <w:widowControl/>
              <w:spacing w:line="720" w:lineRule="exact"/>
              <w:jc w:val="left"/>
              <w:rPr>
                <w:rFonts w:hint="eastAsia" w:ascii="Times New Roman" w:hAnsi="Times New Roman" w:eastAsia="方正小标宋_GBK" w:cs="方正小标宋_GBK"/>
                <w:sz w:val="44"/>
                <w:szCs w:val="44"/>
              </w:rPr>
            </w:pPr>
            <w:r>
              <w:rPr>
                <w:rFonts w:hint="eastAsia" w:ascii="Times New Roman" w:hAnsi="Times New Roman" w:eastAsia="方正黑体_GBK" w:cs="宋体"/>
                <w:color w:val="000000"/>
                <w:kern w:val="0"/>
                <w:sz w:val="32"/>
                <w:szCs w:val="32"/>
              </w:rPr>
              <w:t>附件</w:t>
            </w:r>
          </w:p>
          <w:p w14:paraId="24DF4651">
            <w:pPr>
              <w:widowControl/>
              <w:spacing w:line="720" w:lineRule="exact"/>
              <w:jc w:val="center"/>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sz w:val="44"/>
                <w:szCs w:val="44"/>
              </w:rPr>
              <w:t>云阳县</w:t>
            </w:r>
            <w:r>
              <w:rPr>
                <w:rFonts w:hint="eastAsia" w:ascii="Times New Roman" w:hAnsi="Times New Roman" w:eastAsia="方正小标宋_GBK" w:cs="方正小标宋_GBK"/>
                <w:sz w:val="44"/>
                <w:szCs w:val="44"/>
                <w:lang w:eastAsia="zh-CN"/>
              </w:rPr>
              <w:t>殡葬</w:t>
            </w:r>
            <w:r>
              <w:rPr>
                <w:rFonts w:hint="eastAsia" w:ascii="Times New Roman" w:hAnsi="Times New Roman" w:eastAsia="方正小标宋_GBK" w:cs="方正小标宋_GBK"/>
                <w:sz w:val="44"/>
                <w:szCs w:val="44"/>
              </w:rPr>
              <w:t>基本服务收费项目及收费标准</w:t>
            </w:r>
          </w:p>
          <w:p w14:paraId="23452079">
            <w:pPr>
              <w:widowControl/>
              <w:spacing w:line="578" w:lineRule="exact"/>
              <w:jc w:val="center"/>
              <w:rPr>
                <w:rFonts w:ascii="Times New Roman" w:hAnsi="Times New Roman" w:eastAsia="宋体" w:cs="宋体"/>
                <w:color w:val="000000"/>
                <w:kern w:val="0"/>
                <w:sz w:val="44"/>
                <w:szCs w:val="44"/>
              </w:rPr>
            </w:pPr>
          </w:p>
        </w:tc>
      </w:tr>
      <w:tr w14:paraId="6B64B11F">
        <w:tblPrEx>
          <w:tblCellMar>
            <w:top w:w="0" w:type="dxa"/>
            <w:left w:w="108" w:type="dxa"/>
            <w:bottom w:w="0" w:type="dxa"/>
            <w:right w:w="108" w:type="dxa"/>
          </w:tblCellMar>
        </w:tblPrEx>
        <w:trPr>
          <w:trHeight w:val="244"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B012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收费项目</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3A8311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计费单位</w:t>
            </w:r>
          </w:p>
        </w:tc>
        <w:tc>
          <w:tcPr>
            <w:tcW w:w="1152" w:type="dxa"/>
            <w:tcBorders>
              <w:top w:val="single" w:color="auto" w:sz="4" w:space="0"/>
              <w:left w:val="nil"/>
              <w:bottom w:val="single" w:color="auto" w:sz="4" w:space="0"/>
              <w:right w:val="single" w:color="auto" w:sz="4" w:space="0"/>
            </w:tcBorders>
            <w:shd w:val="clear" w:color="auto" w:fill="auto"/>
            <w:vAlign w:val="center"/>
          </w:tcPr>
          <w:p w14:paraId="5F7611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收费标准（元）</w:t>
            </w:r>
          </w:p>
        </w:tc>
        <w:tc>
          <w:tcPr>
            <w:tcW w:w="3449" w:type="dxa"/>
            <w:tcBorders>
              <w:top w:val="single" w:color="auto" w:sz="4" w:space="0"/>
              <w:left w:val="nil"/>
              <w:bottom w:val="single" w:color="auto" w:sz="4" w:space="0"/>
              <w:right w:val="single" w:color="auto" w:sz="4" w:space="0"/>
            </w:tcBorders>
            <w:shd w:val="clear" w:color="auto" w:fill="auto"/>
            <w:noWrap/>
            <w:vAlign w:val="center"/>
          </w:tcPr>
          <w:p w14:paraId="2CC0AB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备   注</w:t>
            </w:r>
          </w:p>
        </w:tc>
      </w:tr>
      <w:tr w14:paraId="75374C70">
        <w:tblPrEx>
          <w:tblCellMar>
            <w:top w:w="0" w:type="dxa"/>
            <w:left w:w="108" w:type="dxa"/>
            <w:bottom w:w="0" w:type="dxa"/>
            <w:right w:w="108" w:type="dxa"/>
          </w:tblCellMar>
        </w:tblPrEx>
        <w:trPr>
          <w:trHeight w:val="122" w:hRule="atLeast"/>
          <w:jc w:val="center"/>
        </w:trPr>
        <w:tc>
          <w:tcPr>
            <w:tcW w:w="95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4C5EDB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宋体" w:cs="宋体"/>
                <w:color w:val="000000"/>
                <w:kern w:val="0"/>
                <w:sz w:val="24"/>
                <w:szCs w:val="24"/>
              </w:rPr>
            </w:pPr>
            <w:r>
              <w:rPr>
                <w:rFonts w:hint="eastAsia" w:ascii="Times New Roman" w:hAnsi="Times New Roman" w:eastAsia="方正黑体_GBK" w:cs="方正黑体_GBK"/>
                <w:color w:val="000000"/>
                <w:kern w:val="0"/>
                <w:sz w:val="24"/>
                <w:szCs w:val="24"/>
              </w:rPr>
              <w:t>一、遗体接运费</w:t>
            </w:r>
          </w:p>
        </w:tc>
      </w:tr>
      <w:tr w14:paraId="643872EF">
        <w:tblPrEx>
          <w:tblCellMar>
            <w:top w:w="0" w:type="dxa"/>
            <w:left w:w="108" w:type="dxa"/>
            <w:bottom w:w="0" w:type="dxa"/>
            <w:right w:w="108" w:type="dxa"/>
          </w:tblCellMar>
        </w:tblPrEx>
        <w:trPr>
          <w:trHeight w:val="346" w:hRule="atLeast"/>
          <w:jc w:val="center"/>
        </w:trPr>
        <w:tc>
          <w:tcPr>
            <w:tcW w:w="3185" w:type="dxa"/>
            <w:vMerge w:val="restart"/>
            <w:tcBorders>
              <w:top w:val="nil"/>
              <w:left w:val="single" w:color="auto" w:sz="4" w:space="0"/>
              <w:right w:val="single" w:color="auto" w:sz="4" w:space="0"/>
            </w:tcBorders>
            <w:shd w:val="clear" w:color="auto" w:fill="auto"/>
            <w:noWrap/>
            <w:vAlign w:val="center"/>
          </w:tcPr>
          <w:p w14:paraId="52E83C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（一）普通殡仪车接运</w:t>
            </w:r>
          </w:p>
        </w:tc>
        <w:tc>
          <w:tcPr>
            <w:tcW w:w="1740" w:type="dxa"/>
            <w:tcBorders>
              <w:top w:val="nil"/>
              <w:left w:val="nil"/>
              <w:bottom w:val="single" w:color="auto" w:sz="4" w:space="0"/>
              <w:right w:val="single" w:color="auto" w:sz="4" w:space="0"/>
            </w:tcBorders>
            <w:shd w:val="clear" w:color="auto" w:fill="auto"/>
            <w:noWrap/>
            <w:vAlign w:val="center"/>
          </w:tcPr>
          <w:p w14:paraId="135B76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2"/>
              </w:rPr>
              <w:t>具/20公里内</w:t>
            </w:r>
          </w:p>
        </w:tc>
        <w:tc>
          <w:tcPr>
            <w:tcW w:w="1152" w:type="dxa"/>
            <w:tcBorders>
              <w:top w:val="nil"/>
              <w:left w:val="nil"/>
              <w:bottom w:val="single" w:color="auto" w:sz="4" w:space="0"/>
              <w:right w:val="single" w:color="auto" w:sz="4" w:space="0"/>
            </w:tcBorders>
            <w:shd w:val="clear" w:color="auto" w:fill="auto"/>
            <w:noWrap/>
            <w:vAlign w:val="center"/>
          </w:tcPr>
          <w:p w14:paraId="2F6122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2"/>
              </w:rPr>
              <w:t>160</w:t>
            </w:r>
          </w:p>
        </w:tc>
        <w:tc>
          <w:tcPr>
            <w:tcW w:w="3449" w:type="dxa"/>
            <w:vMerge w:val="restart"/>
            <w:tcBorders>
              <w:top w:val="nil"/>
              <w:left w:val="nil"/>
              <w:right w:val="single" w:color="auto" w:sz="4" w:space="0"/>
            </w:tcBorders>
            <w:shd w:val="clear" w:color="auto" w:fill="auto"/>
            <w:vAlign w:val="center"/>
          </w:tcPr>
          <w:p w14:paraId="3278ED9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lang w:val="en-US"/>
              </w:rPr>
            </w:pPr>
            <w:r>
              <w:rPr>
                <w:rFonts w:hint="eastAsia" w:ascii="Times New Roman" w:hAnsi="Times New Roman" w:eastAsia="方正仿宋_GBK" w:cs="方正仿宋_GBK"/>
                <w:sz w:val="18"/>
                <w:szCs w:val="18"/>
                <w:lang w:val="en-US" w:eastAsia="zh-CN"/>
              </w:rPr>
              <w:t>按渝价〔2008〕463号执行。</w:t>
            </w:r>
          </w:p>
        </w:tc>
      </w:tr>
      <w:tr w14:paraId="4FFA3D74">
        <w:tblPrEx>
          <w:tblCellMar>
            <w:top w:w="0" w:type="dxa"/>
            <w:left w:w="108" w:type="dxa"/>
            <w:bottom w:w="0" w:type="dxa"/>
            <w:right w:w="108" w:type="dxa"/>
          </w:tblCellMar>
        </w:tblPrEx>
        <w:trPr>
          <w:trHeight w:val="346" w:hRule="atLeast"/>
          <w:jc w:val="center"/>
        </w:trPr>
        <w:tc>
          <w:tcPr>
            <w:tcW w:w="3185" w:type="dxa"/>
            <w:vMerge w:val="continue"/>
            <w:tcBorders>
              <w:left w:val="single" w:color="auto" w:sz="4" w:space="0"/>
              <w:bottom w:val="single" w:color="auto" w:sz="4" w:space="0"/>
              <w:right w:val="single" w:color="auto" w:sz="4" w:space="0"/>
            </w:tcBorders>
            <w:shd w:val="clear" w:color="auto" w:fill="auto"/>
            <w:noWrap/>
            <w:vAlign w:val="center"/>
          </w:tcPr>
          <w:p w14:paraId="5EA7ECC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p>
        </w:tc>
        <w:tc>
          <w:tcPr>
            <w:tcW w:w="1740" w:type="dxa"/>
            <w:tcBorders>
              <w:top w:val="nil"/>
              <w:left w:val="nil"/>
              <w:bottom w:val="single" w:color="auto" w:sz="4" w:space="0"/>
              <w:right w:val="single" w:color="auto" w:sz="4" w:space="0"/>
            </w:tcBorders>
            <w:shd w:val="clear" w:color="auto" w:fill="auto"/>
            <w:noWrap/>
            <w:vAlign w:val="center"/>
          </w:tcPr>
          <w:p w14:paraId="11CA8B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2"/>
                <w:lang w:eastAsia="zh-CN"/>
              </w:rPr>
            </w:pPr>
            <w:r>
              <w:rPr>
                <w:rFonts w:hint="eastAsia" w:ascii="Times New Roman" w:hAnsi="Times New Roman" w:eastAsia="方正仿宋_GBK" w:cs="方正仿宋_GBK"/>
                <w:color w:val="000000"/>
                <w:kern w:val="0"/>
                <w:sz w:val="22"/>
                <w:szCs w:val="22"/>
              </w:rPr>
              <w:t>具/</w:t>
            </w:r>
            <w:r>
              <w:rPr>
                <w:rFonts w:hint="eastAsia" w:ascii="Times New Roman" w:hAnsi="Times New Roman" w:eastAsia="方正仿宋_GBK" w:cs="方正仿宋_GBK"/>
                <w:color w:val="000000"/>
                <w:kern w:val="0"/>
                <w:sz w:val="22"/>
                <w:szCs w:val="22"/>
                <w:lang w:eastAsia="zh-CN"/>
              </w:rPr>
              <w:t>超出</w:t>
            </w:r>
            <w:r>
              <w:rPr>
                <w:rFonts w:hint="eastAsia" w:ascii="Times New Roman" w:hAnsi="Times New Roman" w:eastAsia="方正仿宋_GBK" w:cs="方正仿宋_GBK"/>
                <w:color w:val="000000"/>
                <w:kern w:val="0"/>
                <w:sz w:val="22"/>
                <w:szCs w:val="22"/>
              </w:rPr>
              <w:t>20公里</w:t>
            </w:r>
          </w:p>
        </w:tc>
        <w:tc>
          <w:tcPr>
            <w:tcW w:w="1152" w:type="dxa"/>
            <w:tcBorders>
              <w:top w:val="nil"/>
              <w:left w:val="nil"/>
              <w:bottom w:val="single" w:color="auto" w:sz="4" w:space="0"/>
              <w:right w:val="single" w:color="auto" w:sz="4" w:space="0"/>
            </w:tcBorders>
            <w:shd w:val="clear" w:color="auto" w:fill="auto"/>
            <w:noWrap/>
            <w:vAlign w:val="center"/>
          </w:tcPr>
          <w:p w14:paraId="21E02F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2"/>
                <w:lang w:val="en-US" w:eastAsia="zh-CN"/>
              </w:rPr>
            </w:pPr>
            <w:r>
              <w:rPr>
                <w:rFonts w:hint="eastAsia" w:ascii="Times New Roman" w:hAnsi="Times New Roman" w:eastAsia="方正仿宋_GBK" w:cs="方正仿宋_GBK"/>
                <w:color w:val="000000"/>
                <w:kern w:val="0"/>
                <w:sz w:val="22"/>
                <w:lang w:val="en-US" w:eastAsia="zh-CN"/>
              </w:rPr>
              <w:t>5</w:t>
            </w:r>
          </w:p>
        </w:tc>
        <w:tc>
          <w:tcPr>
            <w:tcW w:w="3449" w:type="dxa"/>
            <w:vMerge w:val="continue"/>
            <w:tcBorders>
              <w:left w:val="nil"/>
              <w:bottom w:val="single" w:color="auto" w:sz="4" w:space="0"/>
              <w:right w:val="single" w:color="auto" w:sz="4" w:space="0"/>
            </w:tcBorders>
            <w:shd w:val="clear" w:color="auto" w:fill="auto"/>
            <w:vAlign w:val="center"/>
          </w:tcPr>
          <w:p w14:paraId="711073F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sz w:val="18"/>
                <w:szCs w:val="18"/>
                <w:lang w:val="en-US" w:eastAsia="zh-CN"/>
              </w:rPr>
            </w:pPr>
          </w:p>
        </w:tc>
      </w:tr>
      <w:tr w14:paraId="56A03F72">
        <w:tblPrEx>
          <w:tblCellMar>
            <w:top w:w="0" w:type="dxa"/>
            <w:left w:w="108" w:type="dxa"/>
            <w:bottom w:w="0" w:type="dxa"/>
            <w:right w:w="108" w:type="dxa"/>
          </w:tblCellMar>
        </w:tblPrEx>
        <w:trPr>
          <w:trHeight w:val="654"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302C107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（三）收殓抬运</w:t>
            </w:r>
          </w:p>
        </w:tc>
        <w:tc>
          <w:tcPr>
            <w:tcW w:w="1740" w:type="dxa"/>
            <w:tcBorders>
              <w:top w:val="nil"/>
              <w:left w:val="nil"/>
              <w:bottom w:val="single" w:color="auto" w:sz="4" w:space="0"/>
              <w:right w:val="single" w:color="auto" w:sz="4" w:space="0"/>
            </w:tcBorders>
            <w:shd w:val="clear" w:color="auto" w:fill="auto"/>
            <w:noWrap/>
            <w:vAlign w:val="center"/>
          </w:tcPr>
          <w:p w14:paraId="11A02F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具/100米</w:t>
            </w:r>
          </w:p>
        </w:tc>
        <w:tc>
          <w:tcPr>
            <w:tcW w:w="1152" w:type="dxa"/>
            <w:tcBorders>
              <w:top w:val="nil"/>
              <w:left w:val="nil"/>
              <w:bottom w:val="single" w:color="auto" w:sz="4" w:space="0"/>
              <w:right w:val="single" w:color="auto" w:sz="4" w:space="0"/>
            </w:tcBorders>
            <w:shd w:val="clear" w:color="auto" w:fill="auto"/>
            <w:noWrap/>
            <w:vAlign w:val="center"/>
          </w:tcPr>
          <w:p w14:paraId="60C4E0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260</w:t>
            </w:r>
          </w:p>
        </w:tc>
        <w:tc>
          <w:tcPr>
            <w:tcW w:w="3449" w:type="dxa"/>
            <w:tcBorders>
              <w:top w:val="nil"/>
              <w:left w:val="nil"/>
              <w:bottom w:val="single" w:color="auto" w:sz="4" w:space="0"/>
              <w:right w:val="single" w:color="auto" w:sz="4" w:space="0"/>
            </w:tcBorders>
            <w:shd w:val="clear" w:color="auto" w:fill="auto"/>
            <w:vAlign w:val="center"/>
          </w:tcPr>
          <w:p w14:paraId="359ABE3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sz w:val="18"/>
                <w:szCs w:val="18"/>
              </w:rPr>
              <w:t>此收费标准含收殓20元、抬运100元、上下车各20元、尸袋100元。</w:t>
            </w:r>
            <w:r>
              <w:rPr>
                <w:rFonts w:hint="eastAsia" w:ascii="Times New Roman" w:hAnsi="Times New Roman" w:eastAsia="方正仿宋_GBK" w:cs="方正仿宋_GBK"/>
                <w:sz w:val="18"/>
                <w:szCs w:val="18"/>
                <w:woUserID w:val="1"/>
              </w:rPr>
              <w:t>超过100米路程，每50米加收10元（不足50米按50米计算），</w:t>
            </w:r>
            <w:r>
              <w:rPr>
                <w:rFonts w:hint="eastAsia" w:ascii="Times New Roman" w:hAnsi="Times New Roman" w:eastAsia="方正仿宋_GBK" w:cs="方正仿宋_GBK"/>
                <w:sz w:val="18"/>
                <w:szCs w:val="18"/>
              </w:rPr>
              <w:t>如每减少一项服务内容相应减收一项费用。</w:t>
            </w:r>
          </w:p>
        </w:tc>
      </w:tr>
      <w:tr w14:paraId="6C11C19A">
        <w:tblPrEx>
          <w:tblCellMar>
            <w:top w:w="0" w:type="dxa"/>
            <w:left w:w="108" w:type="dxa"/>
            <w:bottom w:w="0" w:type="dxa"/>
            <w:right w:w="108" w:type="dxa"/>
          </w:tblCellMar>
        </w:tblPrEx>
        <w:trPr>
          <w:trHeight w:val="167" w:hRule="atLeast"/>
          <w:jc w:val="center"/>
        </w:trPr>
        <w:tc>
          <w:tcPr>
            <w:tcW w:w="95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FC78C6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宋体" w:cs="宋体"/>
                <w:color w:val="000000"/>
                <w:kern w:val="0"/>
                <w:sz w:val="24"/>
                <w:szCs w:val="24"/>
              </w:rPr>
            </w:pPr>
            <w:r>
              <w:rPr>
                <w:rFonts w:hint="eastAsia" w:ascii="Times New Roman" w:hAnsi="Times New Roman" w:eastAsia="方正黑体_GBK" w:cs="方正黑体_GBK"/>
                <w:color w:val="000000"/>
                <w:kern w:val="0"/>
                <w:sz w:val="24"/>
                <w:szCs w:val="24"/>
              </w:rPr>
              <w:t>二、遗体殡殓费</w:t>
            </w:r>
          </w:p>
        </w:tc>
      </w:tr>
      <w:tr w14:paraId="542AD8A8">
        <w:tblPrEx>
          <w:tblCellMar>
            <w:top w:w="0" w:type="dxa"/>
            <w:left w:w="108" w:type="dxa"/>
            <w:bottom w:w="0" w:type="dxa"/>
            <w:right w:w="108" w:type="dxa"/>
          </w:tblCellMar>
        </w:tblPrEx>
        <w:trPr>
          <w:trHeight w:val="333"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4BC8B6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（一）遗体消毒、整理</w:t>
            </w:r>
          </w:p>
        </w:tc>
        <w:tc>
          <w:tcPr>
            <w:tcW w:w="1740" w:type="dxa"/>
            <w:tcBorders>
              <w:top w:val="nil"/>
              <w:left w:val="nil"/>
              <w:bottom w:val="single" w:color="auto" w:sz="4" w:space="0"/>
              <w:right w:val="single" w:color="auto" w:sz="4" w:space="0"/>
            </w:tcBorders>
            <w:shd w:val="clear" w:color="auto" w:fill="auto"/>
            <w:noWrap/>
            <w:vAlign w:val="center"/>
          </w:tcPr>
          <w:p w14:paraId="7120BE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w:t>
            </w:r>
          </w:p>
        </w:tc>
        <w:tc>
          <w:tcPr>
            <w:tcW w:w="1152" w:type="dxa"/>
            <w:tcBorders>
              <w:top w:val="nil"/>
              <w:left w:val="nil"/>
              <w:bottom w:val="single" w:color="auto" w:sz="4" w:space="0"/>
              <w:right w:val="single" w:color="auto" w:sz="4" w:space="0"/>
            </w:tcBorders>
            <w:shd w:val="clear" w:color="auto" w:fill="auto"/>
            <w:noWrap/>
            <w:vAlign w:val="center"/>
          </w:tcPr>
          <w:p w14:paraId="043D10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270</w:t>
            </w:r>
          </w:p>
        </w:tc>
        <w:tc>
          <w:tcPr>
            <w:tcW w:w="3449" w:type="dxa"/>
            <w:tcBorders>
              <w:top w:val="nil"/>
              <w:left w:val="nil"/>
              <w:bottom w:val="single" w:color="auto" w:sz="4" w:space="0"/>
              <w:right w:val="single" w:color="auto" w:sz="4" w:space="0"/>
            </w:tcBorders>
            <w:shd w:val="clear" w:color="auto" w:fill="auto"/>
            <w:vAlign w:val="center"/>
          </w:tcPr>
          <w:p w14:paraId="416E1C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含下车、消毒、整理、消毒材料。</w:t>
            </w:r>
          </w:p>
        </w:tc>
      </w:tr>
      <w:tr w14:paraId="3910083D">
        <w:tblPrEx>
          <w:tblCellMar>
            <w:top w:w="0" w:type="dxa"/>
            <w:left w:w="108" w:type="dxa"/>
            <w:bottom w:w="0" w:type="dxa"/>
            <w:right w:w="108" w:type="dxa"/>
          </w:tblCellMar>
        </w:tblPrEx>
        <w:trPr>
          <w:trHeight w:val="372"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5C20254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▲（二）冷藏柜停放</w:t>
            </w:r>
          </w:p>
        </w:tc>
        <w:tc>
          <w:tcPr>
            <w:tcW w:w="1740" w:type="dxa"/>
            <w:tcBorders>
              <w:top w:val="nil"/>
              <w:left w:val="nil"/>
              <w:bottom w:val="single" w:color="auto" w:sz="4" w:space="0"/>
              <w:right w:val="single" w:color="auto" w:sz="4" w:space="0"/>
            </w:tcBorders>
            <w:shd w:val="clear" w:color="auto" w:fill="auto"/>
            <w:noWrap/>
            <w:vAlign w:val="center"/>
          </w:tcPr>
          <w:p w14:paraId="6B8E02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具/小时</w:t>
            </w:r>
          </w:p>
        </w:tc>
        <w:tc>
          <w:tcPr>
            <w:tcW w:w="1152" w:type="dxa"/>
            <w:tcBorders>
              <w:top w:val="nil"/>
              <w:left w:val="nil"/>
              <w:bottom w:val="single" w:color="auto" w:sz="4" w:space="0"/>
              <w:right w:val="single" w:color="auto" w:sz="4" w:space="0"/>
            </w:tcBorders>
            <w:shd w:val="clear" w:color="auto" w:fill="auto"/>
            <w:noWrap/>
            <w:vAlign w:val="center"/>
          </w:tcPr>
          <w:p w14:paraId="65CEAC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color w:val="000000"/>
                <w:kern w:val="0"/>
                <w:sz w:val="24"/>
                <w:szCs w:val="24"/>
              </w:rPr>
              <w:t>6</w:t>
            </w:r>
          </w:p>
        </w:tc>
        <w:tc>
          <w:tcPr>
            <w:tcW w:w="3449" w:type="dxa"/>
            <w:tcBorders>
              <w:top w:val="nil"/>
              <w:left w:val="nil"/>
              <w:bottom w:val="single" w:color="auto" w:sz="4" w:space="0"/>
              <w:right w:val="single" w:color="auto" w:sz="4" w:space="0"/>
            </w:tcBorders>
            <w:shd w:val="clear" w:color="auto" w:fill="auto"/>
            <w:vAlign w:val="center"/>
          </w:tcPr>
          <w:p w14:paraId="076B7E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sz w:val="18"/>
                <w:szCs w:val="18"/>
              </w:rPr>
            </w:pPr>
            <w:r>
              <w:rPr>
                <w:rFonts w:hint="eastAsia" w:ascii="Times New Roman" w:hAnsi="Times New Roman" w:eastAsia="方正仿宋_GBK" w:cs="方正仿宋_GBK"/>
                <w:sz w:val="18"/>
                <w:szCs w:val="18"/>
              </w:rPr>
              <w:t>含遗体进、出柜。</w:t>
            </w:r>
          </w:p>
        </w:tc>
      </w:tr>
      <w:tr w14:paraId="08537D0B">
        <w:tblPrEx>
          <w:tblCellMar>
            <w:top w:w="0" w:type="dxa"/>
            <w:left w:w="108" w:type="dxa"/>
            <w:bottom w:w="0" w:type="dxa"/>
            <w:right w:w="108" w:type="dxa"/>
          </w:tblCellMar>
        </w:tblPrEx>
        <w:trPr>
          <w:trHeight w:val="340"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8FB8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▲（三）穿脱衣服</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708563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288A21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150</w:t>
            </w:r>
          </w:p>
        </w:tc>
        <w:tc>
          <w:tcPr>
            <w:tcW w:w="3449" w:type="dxa"/>
            <w:tcBorders>
              <w:top w:val="single" w:color="auto" w:sz="4" w:space="0"/>
              <w:left w:val="nil"/>
              <w:bottom w:val="single" w:color="auto" w:sz="4" w:space="0"/>
              <w:right w:val="single" w:color="auto" w:sz="4" w:space="0"/>
            </w:tcBorders>
            <w:shd w:val="clear" w:color="auto" w:fill="auto"/>
            <w:vAlign w:val="center"/>
          </w:tcPr>
          <w:p w14:paraId="7797F3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含3套以内衣物的穿、脱。</w:t>
            </w:r>
          </w:p>
        </w:tc>
      </w:tr>
      <w:tr w14:paraId="18A962AB">
        <w:tblPrEx>
          <w:tblCellMar>
            <w:top w:w="0" w:type="dxa"/>
            <w:left w:w="108" w:type="dxa"/>
            <w:bottom w:w="0" w:type="dxa"/>
            <w:right w:w="108" w:type="dxa"/>
          </w:tblCellMar>
        </w:tblPrEx>
        <w:trPr>
          <w:trHeight w:val="122"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24B17E6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（四）普通整容</w:t>
            </w:r>
          </w:p>
        </w:tc>
        <w:tc>
          <w:tcPr>
            <w:tcW w:w="1740" w:type="dxa"/>
            <w:tcBorders>
              <w:top w:val="nil"/>
              <w:left w:val="nil"/>
              <w:bottom w:val="single" w:color="auto" w:sz="4" w:space="0"/>
              <w:right w:val="single" w:color="auto" w:sz="4" w:space="0"/>
            </w:tcBorders>
            <w:shd w:val="clear" w:color="auto" w:fill="auto"/>
            <w:noWrap/>
            <w:vAlign w:val="center"/>
          </w:tcPr>
          <w:p w14:paraId="06B922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w:t>
            </w:r>
          </w:p>
        </w:tc>
        <w:tc>
          <w:tcPr>
            <w:tcW w:w="1152" w:type="dxa"/>
            <w:tcBorders>
              <w:top w:val="nil"/>
              <w:left w:val="nil"/>
              <w:bottom w:val="single" w:color="auto" w:sz="4" w:space="0"/>
              <w:right w:val="single" w:color="auto" w:sz="4" w:space="0"/>
            </w:tcBorders>
            <w:shd w:val="clear" w:color="auto" w:fill="auto"/>
            <w:noWrap/>
            <w:vAlign w:val="center"/>
          </w:tcPr>
          <w:p w14:paraId="4438CC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w:t>
            </w:r>
          </w:p>
        </w:tc>
        <w:tc>
          <w:tcPr>
            <w:tcW w:w="3449" w:type="dxa"/>
            <w:tcBorders>
              <w:top w:val="nil"/>
              <w:left w:val="nil"/>
              <w:bottom w:val="single" w:color="auto" w:sz="4" w:space="0"/>
              <w:right w:val="single" w:color="auto" w:sz="4" w:space="0"/>
            </w:tcBorders>
            <w:shd w:val="clear" w:color="auto" w:fill="auto"/>
            <w:noWrap/>
            <w:vAlign w:val="center"/>
          </w:tcPr>
          <w:p w14:paraId="4F2E20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w:t>
            </w:r>
          </w:p>
        </w:tc>
      </w:tr>
      <w:tr w14:paraId="1C3A9087">
        <w:tblPrEx>
          <w:tblCellMar>
            <w:top w:w="0" w:type="dxa"/>
            <w:left w:w="108" w:type="dxa"/>
            <w:bottom w:w="0" w:type="dxa"/>
            <w:right w:w="108" w:type="dxa"/>
          </w:tblCellMar>
        </w:tblPrEx>
        <w:trPr>
          <w:trHeight w:val="385"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A5E6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▲1.一般化妆</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1CF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BE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80</w:t>
            </w:r>
          </w:p>
        </w:tc>
        <w:tc>
          <w:tcPr>
            <w:tcW w:w="3449" w:type="dxa"/>
            <w:tcBorders>
              <w:top w:val="single" w:color="auto" w:sz="4" w:space="0"/>
              <w:left w:val="single" w:color="auto" w:sz="4" w:space="0"/>
              <w:bottom w:val="single" w:color="auto" w:sz="4" w:space="0"/>
              <w:right w:val="single" w:color="auto" w:sz="4" w:space="0"/>
            </w:tcBorders>
            <w:shd w:val="clear" w:color="auto" w:fill="auto"/>
            <w:vAlign w:val="center"/>
          </w:tcPr>
          <w:p w14:paraId="1E4E96F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含面部清洁、化妆、材料。</w:t>
            </w:r>
          </w:p>
        </w:tc>
      </w:tr>
      <w:tr w14:paraId="024F8FA9">
        <w:tblPrEx>
          <w:tblCellMar>
            <w:top w:w="0" w:type="dxa"/>
            <w:left w:w="108" w:type="dxa"/>
            <w:bottom w:w="0" w:type="dxa"/>
            <w:right w:w="108" w:type="dxa"/>
          </w:tblCellMar>
        </w:tblPrEx>
        <w:trPr>
          <w:trHeight w:val="468"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4DCB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▲2.一般整容</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1234FD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7BC66E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340</w:t>
            </w:r>
          </w:p>
        </w:tc>
        <w:tc>
          <w:tcPr>
            <w:tcW w:w="3449" w:type="dxa"/>
            <w:tcBorders>
              <w:top w:val="single" w:color="auto" w:sz="4" w:space="0"/>
              <w:left w:val="nil"/>
              <w:bottom w:val="single" w:color="auto" w:sz="4" w:space="0"/>
              <w:right w:val="single" w:color="auto" w:sz="4" w:space="0"/>
            </w:tcBorders>
            <w:shd w:val="clear" w:color="auto" w:fill="auto"/>
            <w:vAlign w:val="center"/>
          </w:tcPr>
          <w:p w14:paraId="43A723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含面部清洁、理发、修面、画眉、化妆，材料。</w:t>
            </w:r>
          </w:p>
        </w:tc>
      </w:tr>
      <w:tr w14:paraId="564161E2">
        <w:tblPrEx>
          <w:tblCellMar>
            <w:top w:w="0" w:type="dxa"/>
            <w:left w:w="108" w:type="dxa"/>
            <w:bottom w:w="0" w:type="dxa"/>
            <w:right w:w="108" w:type="dxa"/>
          </w:tblCellMar>
        </w:tblPrEx>
        <w:trPr>
          <w:trHeight w:val="122" w:hRule="atLeast"/>
          <w:jc w:val="center"/>
        </w:trPr>
        <w:tc>
          <w:tcPr>
            <w:tcW w:w="95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56336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宋体" w:cs="宋体"/>
                <w:color w:val="000000"/>
                <w:kern w:val="0"/>
                <w:sz w:val="24"/>
                <w:szCs w:val="24"/>
              </w:rPr>
            </w:pPr>
            <w:r>
              <w:rPr>
                <w:rFonts w:hint="eastAsia" w:ascii="Times New Roman" w:hAnsi="Times New Roman" w:eastAsia="方正黑体_GBK" w:cs="方正黑体_GBK"/>
                <w:color w:val="000000"/>
                <w:kern w:val="0"/>
                <w:sz w:val="24"/>
                <w:szCs w:val="24"/>
              </w:rPr>
              <w:t>三、遗体殡仪费</w:t>
            </w:r>
          </w:p>
        </w:tc>
      </w:tr>
      <w:tr w14:paraId="222F38DF">
        <w:tblPrEx>
          <w:tblCellMar>
            <w:top w:w="0" w:type="dxa"/>
            <w:left w:w="108" w:type="dxa"/>
            <w:bottom w:w="0" w:type="dxa"/>
            <w:right w:w="108" w:type="dxa"/>
          </w:tblCellMar>
        </w:tblPrEx>
        <w:trPr>
          <w:trHeight w:val="224"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801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▲（一）休息室租用</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6F9C85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次</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4E9B3B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100</w:t>
            </w:r>
          </w:p>
        </w:tc>
        <w:tc>
          <w:tcPr>
            <w:tcW w:w="3449" w:type="dxa"/>
            <w:tcBorders>
              <w:top w:val="single" w:color="auto" w:sz="4" w:space="0"/>
              <w:left w:val="nil"/>
              <w:bottom w:val="single" w:color="auto" w:sz="4" w:space="0"/>
              <w:right w:val="single" w:color="auto" w:sz="4" w:space="0"/>
            </w:tcBorders>
            <w:shd w:val="clear" w:color="auto" w:fill="auto"/>
            <w:vAlign w:val="center"/>
          </w:tcPr>
          <w:p w14:paraId="69BE6D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每次以4小时计。配备服务员、空调、饮水机、桌凳等。</w:t>
            </w:r>
          </w:p>
        </w:tc>
      </w:tr>
      <w:tr w14:paraId="074B141E">
        <w:tblPrEx>
          <w:tblCellMar>
            <w:top w:w="0" w:type="dxa"/>
            <w:left w:w="108" w:type="dxa"/>
            <w:bottom w:w="0" w:type="dxa"/>
            <w:right w:w="108" w:type="dxa"/>
          </w:tblCellMar>
        </w:tblPrEx>
        <w:trPr>
          <w:trHeight w:val="640"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E5D8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eastAsia="zh-CN"/>
              </w:rPr>
            </w:pPr>
            <w:r>
              <w:rPr>
                <w:rFonts w:hint="eastAsia" w:ascii="Times New Roman" w:hAnsi="Times New Roman" w:eastAsia="方正仿宋_GBK" w:cs="方正仿宋_GBK"/>
                <w:color w:val="000000"/>
                <w:kern w:val="0"/>
                <w:sz w:val="24"/>
                <w:szCs w:val="24"/>
              </w:rPr>
              <w:t>▲（二）守灵治丧厅租用</w:t>
            </w:r>
            <w:r>
              <w:rPr>
                <w:rFonts w:hint="eastAsia" w:ascii="Times New Roman" w:hAnsi="Times New Roman" w:eastAsia="方正仿宋_GBK" w:cs="方正仿宋_GBK"/>
                <w:color w:val="000000"/>
                <w:kern w:val="0"/>
                <w:sz w:val="24"/>
                <w:szCs w:val="24"/>
                <w:lang w:eastAsia="zh-CN"/>
              </w:rPr>
              <w:t>（</w:t>
            </w:r>
            <w:r>
              <w:rPr>
                <w:rFonts w:hint="eastAsia" w:ascii="Times New Roman" w:hAnsi="Times New Roman" w:eastAsia="方正仿宋_GBK" w:cs="方正仿宋_GBK"/>
                <w:color w:val="000000"/>
                <w:kern w:val="0"/>
                <w:sz w:val="24"/>
                <w:szCs w:val="24"/>
              </w:rPr>
              <w:t>厅堂名称及面积</w:t>
            </w:r>
            <w:r>
              <w:rPr>
                <w:rFonts w:hint="eastAsia" w:ascii="Times New Roman" w:hAnsi="Times New Roman" w:eastAsia="方正仿宋_GBK" w:cs="方正仿宋_GBK"/>
                <w:color w:val="000000"/>
                <w:kern w:val="0"/>
                <w:sz w:val="24"/>
                <w:szCs w:val="24"/>
                <w:lang w:eastAsia="zh-CN"/>
              </w:rPr>
              <w:t>）</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6BA2F6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74FDCC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0"/>
                <w:szCs w:val="20"/>
              </w:rPr>
            </w:pPr>
          </w:p>
        </w:tc>
        <w:tc>
          <w:tcPr>
            <w:tcW w:w="3449" w:type="dxa"/>
            <w:tcBorders>
              <w:top w:val="single" w:color="auto" w:sz="4" w:space="0"/>
              <w:left w:val="nil"/>
              <w:bottom w:val="single" w:color="auto" w:sz="4" w:space="0"/>
              <w:right w:val="single" w:color="auto" w:sz="4" w:space="0"/>
            </w:tcBorders>
            <w:shd w:val="clear" w:color="auto" w:fill="auto"/>
            <w:noWrap/>
            <w:vAlign w:val="center"/>
          </w:tcPr>
          <w:p w14:paraId="221DCE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p>
        </w:tc>
      </w:tr>
      <w:tr w14:paraId="4F348CD7">
        <w:tblPrEx>
          <w:tblCellMar>
            <w:top w:w="0" w:type="dxa"/>
            <w:left w:w="108" w:type="dxa"/>
            <w:bottom w:w="0" w:type="dxa"/>
            <w:right w:w="108" w:type="dxa"/>
          </w:tblCellMar>
        </w:tblPrEx>
        <w:trPr>
          <w:trHeight w:val="14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4910401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1.</w:t>
            </w:r>
            <w:r>
              <w:rPr>
                <w:rFonts w:hint="eastAsia" w:ascii="Times New Roman" w:hAnsi="Times New Roman" w:eastAsia="方正仿宋_GBK" w:cs="方正仿宋_GBK"/>
                <w:color w:val="000000"/>
                <w:kern w:val="0"/>
                <w:sz w:val="24"/>
                <w:szCs w:val="24"/>
              </w:rPr>
              <w:t>日月厅（256m2）</w:t>
            </w:r>
          </w:p>
        </w:tc>
        <w:tc>
          <w:tcPr>
            <w:tcW w:w="1740" w:type="dxa"/>
            <w:tcBorders>
              <w:top w:val="nil"/>
              <w:left w:val="nil"/>
              <w:bottom w:val="single" w:color="auto" w:sz="4" w:space="0"/>
              <w:right w:val="single" w:color="auto" w:sz="4" w:space="0"/>
            </w:tcBorders>
            <w:shd w:val="clear" w:color="auto" w:fill="auto"/>
            <w:noWrap/>
            <w:vAlign w:val="center"/>
          </w:tcPr>
          <w:p w14:paraId="64CBF7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天</w:t>
            </w:r>
          </w:p>
        </w:tc>
        <w:tc>
          <w:tcPr>
            <w:tcW w:w="1152" w:type="dxa"/>
            <w:tcBorders>
              <w:top w:val="nil"/>
              <w:left w:val="nil"/>
              <w:bottom w:val="single" w:color="auto" w:sz="4" w:space="0"/>
              <w:right w:val="single" w:color="auto" w:sz="4" w:space="0"/>
            </w:tcBorders>
            <w:shd w:val="clear" w:color="auto" w:fill="auto"/>
            <w:noWrap/>
            <w:vAlign w:val="center"/>
          </w:tcPr>
          <w:p w14:paraId="0A02DD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1380</w:t>
            </w:r>
          </w:p>
        </w:tc>
        <w:tc>
          <w:tcPr>
            <w:tcW w:w="3449" w:type="dxa"/>
            <w:tcBorders>
              <w:top w:val="nil"/>
              <w:left w:val="nil"/>
              <w:bottom w:val="single" w:color="auto" w:sz="4" w:space="0"/>
              <w:right w:val="single" w:color="auto" w:sz="4" w:space="0"/>
            </w:tcBorders>
            <w:shd w:val="clear" w:color="auto" w:fill="auto"/>
            <w:noWrap/>
            <w:vAlign w:val="top"/>
          </w:tcPr>
          <w:p w14:paraId="727EDD9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kern w:val="0"/>
                <w:sz w:val="20"/>
                <w:szCs w:val="20"/>
                <w:lang w:val="en-US" w:eastAsia="zh-CN" w:bidi="ar-SA"/>
              </w:rPr>
            </w:pPr>
            <w:r>
              <w:rPr>
                <w:rFonts w:hint="eastAsia" w:ascii="Times New Roman" w:hAnsi="Times New Roman" w:eastAsia="方正仿宋_GBK" w:cs="方正仿宋_GBK"/>
                <w:kern w:val="0"/>
                <w:sz w:val="20"/>
                <w:szCs w:val="20"/>
              </w:rPr>
              <w:t>不足12小时减半收费。含场地基本</w:t>
            </w:r>
            <w:r>
              <w:rPr>
                <w:rFonts w:hint="eastAsia" w:ascii="Times New Roman" w:hAnsi="Times New Roman" w:eastAsia="方正仿宋_GBK" w:cs="方正仿宋_GBK"/>
                <w:kern w:val="0"/>
                <w:sz w:val="20"/>
                <w:szCs w:val="20"/>
                <w:lang w:eastAsia="zh-CN"/>
              </w:rPr>
              <w:t>设施</w:t>
            </w:r>
            <w:r>
              <w:rPr>
                <w:rFonts w:hint="eastAsia" w:ascii="Times New Roman" w:hAnsi="Times New Roman" w:eastAsia="方正仿宋_GBK" w:cs="方正仿宋_GBK"/>
                <w:kern w:val="0"/>
                <w:sz w:val="20"/>
                <w:szCs w:val="20"/>
              </w:rPr>
              <w:t>（冰棺、空调、饮水机、礼桌、供桌、电香、电烛、油灯、菜油、跪垫、自来水、照明、休息室一间、桌</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凳</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遗体抬运等。</w:t>
            </w:r>
          </w:p>
        </w:tc>
      </w:tr>
      <w:tr w14:paraId="7D15416B">
        <w:tblPrEx>
          <w:tblCellMar>
            <w:top w:w="0" w:type="dxa"/>
            <w:left w:w="108" w:type="dxa"/>
            <w:bottom w:w="0" w:type="dxa"/>
            <w:right w:w="108" w:type="dxa"/>
          </w:tblCellMar>
        </w:tblPrEx>
        <w:trPr>
          <w:trHeight w:val="141"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2CB4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2.</w:t>
            </w:r>
            <w:r>
              <w:rPr>
                <w:rFonts w:hint="eastAsia" w:ascii="Times New Roman" w:hAnsi="Times New Roman" w:eastAsia="方正仿宋_GBK" w:cs="方正仿宋_GBK"/>
                <w:color w:val="000000"/>
                <w:kern w:val="0"/>
                <w:sz w:val="24"/>
                <w:szCs w:val="24"/>
              </w:rPr>
              <w:t>凌霄、仙鹤厅（236m2）</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492DCB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天</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2ECAAD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980</w:t>
            </w:r>
          </w:p>
        </w:tc>
        <w:tc>
          <w:tcPr>
            <w:tcW w:w="3449" w:type="dxa"/>
            <w:tcBorders>
              <w:top w:val="single" w:color="auto" w:sz="4" w:space="0"/>
              <w:left w:val="nil"/>
              <w:bottom w:val="single" w:color="auto" w:sz="4" w:space="0"/>
              <w:right w:val="single" w:color="auto" w:sz="4" w:space="0"/>
            </w:tcBorders>
            <w:shd w:val="clear" w:color="auto" w:fill="auto"/>
            <w:noWrap/>
            <w:vAlign w:val="top"/>
          </w:tcPr>
          <w:p w14:paraId="7A7EF4A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kern w:val="0"/>
                <w:sz w:val="20"/>
                <w:szCs w:val="20"/>
                <w:lang w:val="en-US" w:eastAsia="zh-CN" w:bidi="ar-SA"/>
              </w:rPr>
            </w:pPr>
            <w:r>
              <w:rPr>
                <w:rFonts w:hint="eastAsia" w:ascii="Times New Roman" w:hAnsi="Times New Roman" w:eastAsia="方正仿宋_GBK" w:cs="方正仿宋_GBK"/>
                <w:kern w:val="0"/>
                <w:sz w:val="20"/>
                <w:szCs w:val="20"/>
              </w:rPr>
              <w:t>不足12小时减半收费。含场地基本</w:t>
            </w:r>
            <w:r>
              <w:rPr>
                <w:rFonts w:hint="eastAsia" w:ascii="Times New Roman" w:hAnsi="Times New Roman" w:eastAsia="方正仿宋_GBK" w:cs="方正仿宋_GBK"/>
                <w:kern w:val="0"/>
                <w:sz w:val="20"/>
                <w:szCs w:val="20"/>
                <w:lang w:eastAsia="zh-CN"/>
              </w:rPr>
              <w:t>设施</w:t>
            </w:r>
            <w:r>
              <w:rPr>
                <w:rFonts w:hint="eastAsia" w:ascii="Times New Roman" w:hAnsi="Times New Roman" w:eastAsia="方正仿宋_GBK" w:cs="方正仿宋_GBK"/>
                <w:kern w:val="0"/>
                <w:sz w:val="20"/>
                <w:szCs w:val="20"/>
              </w:rPr>
              <w:t>（冰棺、空调、饮水机、礼桌、供桌、电香、电烛、油灯、菜油、跪垫、自来水、照明、休息室一间、桌</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凳</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遗体抬运等。</w:t>
            </w:r>
          </w:p>
        </w:tc>
      </w:tr>
      <w:tr w14:paraId="61F15061">
        <w:tblPrEx>
          <w:tblCellMar>
            <w:top w:w="0" w:type="dxa"/>
            <w:left w:w="108" w:type="dxa"/>
            <w:bottom w:w="0" w:type="dxa"/>
            <w:right w:w="108" w:type="dxa"/>
          </w:tblCellMar>
        </w:tblPrEx>
        <w:trPr>
          <w:trHeight w:val="141"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CD6D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3.</w:t>
            </w:r>
            <w:r>
              <w:rPr>
                <w:rFonts w:hint="eastAsia" w:ascii="Times New Roman" w:hAnsi="Times New Roman" w:eastAsia="方正仿宋_GBK" w:cs="方正仿宋_GBK"/>
                <w:color w:val="000000"/>
                <w:kern w:val="0"/>
                <w:sz w:val="24"/>
                <w:szCs w:val="24"/>
              </w:rPr>
              <w:t>蓬莱厅（196m2）</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4226DC4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天</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5C22C6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980</w:t>
            </w:r>
          </w:p>
        </w:tc>
        <w:tc>
          <w:tcPr>
            <w:tcW w:w="3449" w:type="dxa"/>
            <w:tcBorders>
              <w:top w:val="single" w:color="auto" w:sz="4" w:space="0"/>
              <w:left w:val="nil"/>
              <w:bottom w:val="single" w:color="auto" w:sz="4" w:space="0"/>
              <w:right w:val="single" w:color="auto" w:sz="4" w:space="0"/>
            </w:tcBorders>
            <w:shd w:val="clear" w:color="auto" w:fill="auto"/>
            <w:noWrap/>
            <w:vAlign w:val="top"/>
          </w:tcPr>
          <w:p w14:paraId="2F7899D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kern w:val="0"/>
                <w:sz w:val="20"/>
                <w:szCs w:val="20"/>
                <w:lang w:val="en-US" w:eastAsia="zh-CN" w:bidi="ar-SA"/>
              </w:rPr>
            </w:pPr>
            <w:r>
              <w:rPr>
                <w:rFonts w:hint="eastAsia" w:ascii="Times New Roman" w:hAnsi="Times New Roman" w:eastAsia="方正仿宋_GBK" w:cs="方正仿宋_GBK"/>
                <w:kern w:val="0"/>
                <w:sz w:val="20"/>
                <w:szCs w:val="20"/>
              </w:rPr>
              <w:t>不足12小时减半收费。含场地基本</w:t>
            </w:r>
            <w:r>
              <w:rPr>
                <w:rFonts w:hint="eastAsia" w:ascii="Times New Roman" w:hAnsi="Times New Roman" w:eastAsia="方正仿宋_GBK" w:cs="方正仿宋_GBK"/>
                <w:kern w:val="0"/>
                <w:sz w:val="20"/>
                <w:szCs w:val="20"/>
                <w:lang w:eastAsia="zh-CN"/>
              </w:rPr>
              <w:t>设施</w:t>
            </w:r>
            <w:r>
              <w:rPr>
                <w:rFonts w:hint="eastAsia" w:ascii="Times New Roman" w:hAnsi="Times New Roman" w:eastAsia="方正仿宋_GBK" w:cs="方正仿宋_GBK"/>
                <w:kern w:val="0"/>
                <w:sz w:val="20"/>
                <w:szCs w:val="20"/>
              </w:rPr>
              <w:t>（冰棺、空调、饮水机、礼桌、供桌、电香、电烛、油灯、菜油、跪垫、自来水、照明、休息室一间、桌</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凳</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遗体抬运等。</w:t>
            </w:r>
          </w:p>
        </w:tc>
      </w:tr>
      <w:tr w14:paraId="2F7720C7">
        <w:tblPrEx>
          <w:tblCellMar>
            <w:top w:w="0" w:type="dxa"/>
            <w:left w:w="108" w:type="dxa"/>
            <w:bottom w:w="0" w:type="dxa"/>
            <w:right w:w="108" w:type="dxa"/>
          </w:tblCellMar>
        </w:tblPrEx>
        <w:trPr>
          <w:trHeight w:val="14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12D3B28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4.</w:t>
            </w:r>
            <w:r>
              <w:rPr>
                <w:rFonts w:hint="eastAsia" w:ascii="Times New Roman" w:hAnsi="Times New Roman" w:eastAsia="方正仿宋_GBK" w:cs="方正仿宋_GBK"/>
                <w:color w:val="000000"/>
                <w:kern w:val="0"/>
                <w:sz w:val="24"/>
                <w:szCs w:val="24"/>
              </w:rPr>
              <w:t>神鹿厅（187m2）</w:t>
            </w:r>
          </w:p>
        </w:tc>
        <w:tc>
          <w:tcPr>
            <w:tcW w:w="1740" w:type="dxa"/>
            <w:tcBorders>
              <w:top w:val="nil"/>
              <w:left w:val="nil"/>
              <w:bottom w:val="single" w:color="auto" w:sz="4" w:space="0"/>
              <w:right w:val="single" w:color="auto" w:sz="4" w:space="0"/>
            </w:tcBorders>
            <w:shd w:val="clear" w:color="auto" w:fill="auto"/>
            <w:noWrap/>
            <w:vAlign w:val="center"/>
          </w:tcPr>
          <w:p w14:paraId="6D6BF30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天</w:t>
            </w:r>
          </w:p>
        </w:tc>
        <w:tc>
          <w:tcPr>
            <w:tcW w:w="1152" w:type="dxa"/>
            <w:tcBorders>
              <w:top w:val="nil"/>
              <w:left w:val="nil"/>
              <w:bottom w:val="single" w:color="auto" w:sz="4" w:space="0"/>
              <w:right w:val="single" w:color="auto" w:sz="4" w:space="0"/>
            </w:tcBorders>
            <w:shd w:val="clear" w:color="auto" w:fill="auto"/>
            <w:noWrap/>
            <w:vAlign w:val="center"/>
          </w:tcPr>
          <w:p w14:paraId="174173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680</w:t>
            </w:r>
          </w:p>
        </w:tc>
        <w:tc>
          <w:tcPr>
            <w:tcW w:w="3449" w:type="dxa"/>
            <w:tcBorders>
              <w:top w:val="nil"/>
              <w:left w:val="nil"/>
              <w:bottom w:val="single" w:color="auto" w:sz="4" w:space="0"/>
              <w:right w:val="single" w:color="auto" w:sz="4" w:space="0"/>
            </w:tcBorders>
            <w:shd w:val="clear" w:color="auto" w:fill="auto"/>
            <w:noWrap/>
            <w:vAlign w:val="top"/>
          </w:tcPr>
          <w:p w14:paraId="51D8302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kern w:val="0"/>
                <w:sz w:val="20"/>
                <w:szCs w:val="20"/>
                <w:lang w:val="en-US" w:eastAsia="zh-CN" w:bidi="ar-SA"/>
              </w:rPr>
            </w:pPr>
            <w:r>
              <w:rPr>
                <w:rFonts w:hint="eastAsia" w:ascii="Times New Roman" w:hAnsi="Times New Roman" w:eastAsia="方正仿宋_GBK" w:cs="方正仿宋_GBK"/>
                <w:kern w:val="0"/>
                <w:sz w:val="20"/>
                <w:szCs w:val="20"/>
              </w:rPr>
              <w:t>不足12小时减半收费。含场地基本</w:t>
            </w:r>
            <w:r>
              <w:rPr>
                <w:rFonts w:hint="eastAsia" w:ascii="Times New Roman" w:hAnsi="Times New Roman" w:eastAsia="方正仿宋_GBK" w:cs="方正仿宋_GBK"/>
                <w:kern w:val="0"/>
                <w:sz w:val="20"/>
                <w:szCs w:val="20"/>
                <w:lang w:eastAsia="zh-CN"/>
              </w:rPr>
              <w:t>设施</w:t>
            </w:r>
            <w:r>
              <w:rPr>
                <w:rFonts w:hint="eastAsia" w:ascii="Times New Roman" w:hAnsi="Times New Roman" w:eastAsia="方正仿宋_GBK" w:cs="方正仿宋_GBK"/>
                <w:kern w:val="0"/>
                <w:sz w:val="20"/>
                <w:szCs w:val="20"/>
              </w:rPr>
              <w:t>（冰棺、空调、饮水机、礼桌、供桌、电香、电烛、油灯、菜油、跪垫、自来水、照明、休息室一间、桌</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凳</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遗体抬运等。</w:t>
            </w:r>
          </w:p>
        </w:tc>
      </w:tr>
      <w:tr w14:paraId="614DC2AC">
        <w:tblPrEx>
          <w:tblCellMar>
            <w:top w:w="0" w:type="dxa"/>
            <w:left w:w="108" w:type="dxa"/>
            <w:bottom w:w="0" w:type="dxa"/>
            <w:right w:w="108" w:type="dxa"/>
          </w:tblCellMar>
        </w:tblPrEx>
        <w:trPr>
          <w:trHeight w:val="14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top"/>
          </w:tcPr>
          <w:p w14:paraId="1531740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5.</w:t>
            </w:r>
            <w:r>
              <w:rPr>
                <w:rFonts w:hint="eastAsia" w:ascii="Times New Roman" w:hAnsi="Times New Roman" w:eastAsia="方正仿宋_GBK" w:cs="方正仿宋_GBK"/>
                <w:color w:val="000000"/>
                <w:kern w:val="0"/>
                <w:sz w:val="24"/>
                <w:szCs w:val="24"/>
              </w:rPr>
              <w:t>瑶台厅（180m2）</w:t>
            </w:r>
          </w:p>
        </w:tc>
        <w:tc>
          <w:tcPr>
            <w:tcW w:w="1740" w:type="dxa"/>
            <w:tcBorders>
              <w:top w:val="nil"/>
              <w:left w:val="nil"/>
              <w:bottom w:val="single" w:color="auto" w:sz="4" w:space="0"/>
              <w:right w:val="single" w:color="auto" w:sz="4" w:space="0"/>
            </w:tcBorders>
            <w:shd w:val="clear" w:color="auto" w:fill="auto"/>
            <w:noWrap/>
            <w:vAlign w:val="top"/>
          </w:tcPr>
          <w:p w14:paraId="4EC3244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天</w:t>
            </w:r>
          </w:p>
        </w:tc>
        <w:tc>
          <w:tcPr>
            <w:tcW w:w="1152" w:type="dxa"/>
            <w:tcBorders>
              <w:top w:val="nil"/>
              <w:left w:val="nil"/>
              <w:bottom w:val="single" w:color="auto" w:sz="4" w:space="0"/>
              <w:right w:val="single" w:color="auto" w:sz="4" w:space="0"/>
            </w:tcBorders>
            <w:shd w:val="clear" w:color="auto" w:fill="auto"/>
            <w:noWrap/>
            <w:vAlign w:val="top"/>
          </w:tcPr>
          <w:p w14:paraId="59E2676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680</w:t>
            </w:r>
          </w:p>
        </w:tc>
        <w:tc>
          <w:tcPr>
            <w:tcW w:w="3449" w:type="dxa"/>
            <w:tcBorders>
              <w:top w:val="nil"/>
              <w:left w:val="nil"/>
              <w:bottom w:val="single" w:color="auto" w:sz="4" w:space="0"/>
              <w:right w:val="single" w:color="auto" w:sz="4" w:space="0"/>
            </w:tcBorders>
            <w:shd w:val="clear" w:color="auto" w:fill="auto"/>
            <w:noWrap/>
            <w:vAlign w:val="top"/>
          </w:tcPr>
          <w:p w14:paraId="4256ED7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imes New Roman" w:hAnsi="Times New Roman" w:eastAsia="方正仿宋_GBK" w:cs="方正仿宋_GBK"/>
                <w:kern w:val="0"/>
                <w:sz w:val="20"/>
                <w:szCs w:val="20"/>
                <w:lang w:val="en-US" w:eastAsia="zh-CN" w:bidi="ar-SA"/>
              </w:rPr>
            </w:pPr>
            <w:r>
              <w:rPr>
                <w:rFonts w:hint="eastAsia" w:ascii="Times New Roman" w:hAnsi="Times New Roman" w:eastAsia="方正仿宋_GBK" w:cs="方正仿宋_GBK"/>
                <w:kern w:val="0"/>
                <w:sz w:val="20"/>
                <w:szCs w:val="20"/>
              </w:rPr>
              <w:t>不足12小时减半收费。含场地基本</w:t>
            </w:r>
            <w:r>
              <w:rPr>
                <w:rFonts w:hint="eastAsia" w:ascii="Times New Roman" w:hAnsi="Times New Roman" w:eastAsia="方正仿宋_GBK" w:cs="方正仿宋_GBK"/>
                <w:kern w:val="0"/>
                <w:sz w:val="20"/>
                <w:szCs w:val="20"/>
                <w:lang w:eastAsia="zh-CN"/>
              </w:rPr>
              <w:t>设施</w:t>
            </w:r>
            <w:r>
              <w:rPr>
                <w:rFonts w:hint="eastAsia" w:ascii="Times New Roman" w:hAnsi="Times New Roman" w:eastAsia="方正仿宋_GBK" w:cs="方正仿宋_GBK"/>
                <w:kern w:val="0"/>
                <w:sz w:val="20"/>
                <w:szCs w:val="20"/>
              </w:rPr>
              <w:t>（冰棺、空调、饮水机、礼桌、供桌、电香、电烛、油灯、菜油、跪垫、自来水、照明、休息室一间、桌</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凳</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遗体抬运等。</w:t>
            </w:r>
          </w:p>
        </w:tc>
      </w:tr>
      <w:tr w14:paraId="168C77F9">
        <w:tblPrEx>
          <w:tblCellMar>
            <w:top w:w="0" w:type="dxa"/>
            <w:left w:w="108" w:type="dxa"/>
            <w:bottom w:w="0" w:type="dxa"/>
            <w:right w:w="108" w:type="dxa"/>
          </w:tblCellMar>
        </w:tblPrEx>
        <w:trPr>
          <w:trHeight w:val="14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top"/>
          </w:tcPr>
          <w:p w14:paraId="3922C84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lang w:val="en-US" w:eastAsia="zh-CN"/>
              </w:rPr>
              <w:t>6.</w:t>
            </w:r>
            <w:r>
              <w:rPr>
                <w:rFonts w:hint="eastAsia" w:ascii="Times New Roman" w:hAnsi="Times New Roman" w:eastAsia="方正仿宋_GBK" w:cs="方正仿宋_GBK"/>
                <w:color w:val="000000"/>
                <w:kern w:val="0"/>
                <w:sz w:val="24"/>
                <w:szCs w:val="24"/>
              </w:rPr>
              <w:t>金鹊、随缘厅（70m2）</w:t>
            </w:r>
          </w:p>
        </w:tc>
        <w:tc>
          <w:tcPr>
            <w:tcW w:w="1740" w:type="dxa"/>
            <w:tcBorders>
              <w:top w:val="nil"/>
              <w:left w:val="nil"/>
              <w:bottom w:val="single" w:color="auto" w:sz="4" w:space="0"/>
              <w:right w:val="single" w:color="auto" w:sz="4" w:space="0"/>
            </w:tcBorders>
            <w:shd w:val="clear" w:color="auto" w:fill="auto"/>
            <w:noWrap/>
            <w:vAlign w:val="top"/>
          </w:tcPr>
          <w:p w14:paraId="072C7BA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天</w:t>
            </w:r>
          </w:p>
        </w:tc>
        <w:tc>
          <w:tcPr>
            <w:tcW w:w="1152" w:type="dxa"/>
            <w:tcBorders>
              <w:top w:val="nil"/>
              <w:left w:val="nil"/>
              <w:bottom w:val="single" w:color="auto" w:sz="4" w:space="0"/>
              <w:right w:val="single" w:color="auto" w:sz="4" w:space="0"/>
            </w:tcBorders>
            <w:shd w:val="clear" w:color="auto" w:fill="auto"/>
            <w:noWrap/>
            <w:vAlign w:val="top"/>
          </w:tcPr>
          <w:p w14:paraId="48838C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350</w:t>
            </w:r>
          </w:p>
        </w:tc>
        <w:tc>
          <w:tcPr>
            <w:tcW w:w="3449" w:type="dxa"/>
            <w:tcBorders>
              <w:top w:val="nil"/>
              <w:left w:val="nil"/>
              <w:bottom w:val="single" w:color="auto" w:sz="4" w:space="0"/>
              <w:right w:val="single" w:color="auto" w:sz="4" w:space="0"/>
            </w:tcBorders>
            <w:shd w:val="clear" w:color="auto" w:fill="auto"/>
            <w:noWrap/>
            <w:vAlign w:val="top"/>
          </w:tcPr>
          <w:p w14:paraId="49BBEF1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kern w:val="0"/>
                <w:sz w:val="20"/>
                <w:szCs w:val="20"/>
                <w:lang w:val="en-US" w:eastAsia="zh-CN" w:bidi="ar-SA"/>
              </w:rPr>
            </w:pPr>
            <w:r>
              <w:rPr>
                <w:rFonts w:hint="eastAsia" w:ascii="Times New Roman" w:hAnsi="Times New Roman" w:eastAsia="方正仿宋_GBK" w:cs="方正仿宋_GBK"/>
                <w:kern w:val="0"/>
                <w:sz w:val="20"/>
                <w:szCs w:val="20"/>
              </w:rPr>
              <w:t>不足12小时减半收费。含场地基本</w:t>
            </w:r>
            <w:r>
              <w:rPr>
                <w:rFonts w:hint="eastAsia" w:ascii="Times New Roman" w:hAnsi="Times New Roman" w:eastAsia="方正仿宋_GBK" w:cs="方正仿宋_GBK"/>
                <w:kern w:val="0"/>
                <w:sz w:val="20"/>
                <w:szCs w:val="20"/>
                <w:lang w:eastAsia="zh-CN"/>
              </w:rPr>
              <w:t>设施</w:t>
            </w:r>
            <w:r>
              <w:rPr>
                <w:rFonts w:hint="eastAsia" w:ascii="Times New Roman" w:hAnsi="Times New Roman" w:eastAsia="方正仿宋_GBK" w:cs="方正仿宋_GBK"/>
                <w:kern w:val="0"/>
                <w:sz w:val="20"/>
                <w:szCs w:val="20"/>
              </w:rPr>
              <w:t>（冰棺、空调、饮水机、礼桌、供桌、电香、电烛、油灯、菜油、跪垫、自来水、照明、桌</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凳</w:t>
            </w:r>
            <w:r>
              <w:rPr>
                <w:rFonts w:hint="eastAsia" w:ascii="Times New Roman" w:hAnsi="Times New Roman" w:eastAsia="方正仿宋_GBK" w:cs="方正仿宋_GBK"/>
                <w:kern w:val="0"/>
                <w:sz w:val="20"/>
                <w:szCs w:val="20"/>
                <w:lang w:eastAsia="zh-CN"/>
              </w:rPr>
              <w:t>）</w:t>
            </w:r>
            <w:r>
              <w:rPr>
                <w:rFonts w:hint="eastAsia" w:ascii="Times New Roman" w:hAnsi="Times New Roman" w:eastAsia="方正仿宋_GBK" w:cs="方正仿宋_GBK"/>
                <w:kern w:val="0"/>
                <w:sz w:val="20"/>
                <w:szCs w:val="20"/>
              </w:rPr>
              <w:t>遗体抬运等。</w:t>
            </w:r>
          </w:p>
        </w:tc>
      </w:tr>
      <w:tr w14:paraId="478F09C0">
        <w:tblPrEx>
          <w:tblCellMar>
            <w:top w:w="0" w:type="dxa"/>
            <w:left w:w="108" w:type="dxa"/>
            <w:bottom w:w="0" w:type="dxa"/>
            <w:right w:w="108" w:type="dxa"/>
          </w:tblCellMar>
        </w:tblPrEx>
        <w:trPr>
          <w:trHeight w:val="435"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top"/>
          </w:tcPr>
          <w:p w14:paraId="3816DD4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▲（三）遗体告别厅租用</w:t>
            </w:r>
          </w:p>
        </w:tc>
        <w:tc>
          <w:tcPr>
            <w:tcW w:w="1740" w:type="dxa"/>
            <w:tcBorders>
              <w:top w:val="nil"/>
              <w:left w:val="nil"/>
              <w:bottom w:val="single" w:color="auto" w:sz="4" w:space="0"/>
              <w:right w:val="single" w:color="auto" w:sz="4" w:space="0"/>
            </w:tcBorders>
            <w:shd w:val="clear" w:color="auto" w:fill="auto"/>
            <w:noWrap/>
            <w:vAlign w:val="center"/>
          </w:tcPr>
          <w:p w14:paraId="6F7CC8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p>
        </w:tc>
        <w:tc>
          <w:tcPr>
            <w:tcW w:w="1152" w:type="dxa"/>
            <w:tcBorders>
              <w:top w:val="nil"/>
              <w:left w:val="nil"/>
              <w:bottom w:val="single" w:color="auto" w:sz="4" w:space="0"/>
              <w:right w:val="single" w:color="auto" w:sz="4" w:space="0"/>
            </w:tcBorders>
            <w:shd w:val="clear" w:color="auto" w:fill="auto"/>
            <w:noWrap/>
            <w:vAlign w:val="center"/>
          </w:tcPr>
          <w:p w14:paraId="735B03E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p>
        </w:tc>
        <w:tc>
          <w:tcPr>
            <w:tcW w:w="3449" w:type="dxa"/>
            <w:tcBorders>
              <w:top w:val="nil"/>
              <w:left w:val="nil"/>
              <w:bottom w:val="single" w:color="auto" w:sz="4" w:space="0"/>
              <w:right w:val="single" w:color="auto" w:sz="4" w:space="0"/>
            </w:tcBorders>
            <w:shd w:val="clear" w:color="auto" w:fill="auto"/>
            <w:noWrap/>
            <w:vAlign w:val="center"/>
          </w:tcPr>
          <w:p w14:paraId="5690A4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p>
        </w:tc>
      </w:tr>
      <w:tr w14:paraId="3A0F5D3F">
        <w:tblPrEx>
          <w:tblCellMar>
            <w:top w:w="0" w:type="dxa"/>
            <w:left w:w="108" w:type="dxa"/>
            <w:bottom w:w="0" w:type="dxa"/>
            <w:right w:w="108" w:type="dxa"/>
          </w:tblCellMar>
        </w:tblPrEx>
        <w:trPr>
          <w:trHeight w:val="14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3052263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遗体告别厅</w:t>
            </w:r>
          </w:p>
        </w:tc>
        <w:tc>
          <w:tcPr>
            <w:tcW w:w="1740" w:type="dxa"/>
            <w:tcBorders>
              <w:top w:val="nil"/>
              <w:left w:val="nil"/>
              <w:bottom w:val="single" w:color="auto" w:sz="4" w:space="0"/>
              <w:right w:val="single" w:color="auto" w:sz="4" w:space="0"/>
            </w:tcBorders>
            <w:shd w:val="clear" w:color="auto" w:fill="auto"/>
            <w:noWrap/>
            <w:vAlign w:val="center"/>
          </w:tcPr>
          <w:p w14:paraId="3DAA904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元/次·2小时内</w:t>
            </w:r>
          </w:p>
        </w:tc>
        <w:tc>
          <w:tcPr>
            <w:tcW w:w="1152" w:type="dxa"/>
            <w:tcBorders>
              <w:top w:val="nil"/>
              <w:left w:val="nil"/>
              <w:bottom w:val="single" w:color="auto" w:sz="4" w:space="0"/>
              <w:right w:val="single" w:color="auto" w:sz="4" w:space="0"/>
            </w:tcBorders>
            <w:shd w:val="clear" w:color="auto" w:fill="auto"/>
            <w:noWrap/>
            <w:vAlign w:val="center"/>
          </w:tcPr>
          <w:p w14:paraId="718A4C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400</w:t>
            </w:r>
          </w:p>
        </w:tc>
        <w:tc>
          <w:tcPr>
            <w:tcW w:w="3449" w:type="dxa"/>
            <w:tcBorders>
              <w:top w:val="nil"/>
              <w:left w:val="nil"/>
              <w:bottom w:val="single" w:color="auto" w:sz="4" w:space="0"/>
              <w:right w:val="single" w:color="auto" w:sz="4" w:space="0"/>
            </w:tcBorders>
            <w:shd w:val="clear" w:color="auto" w:fill="auto"/>
            <w:noWrap/>
            <w:vAlign w:val="center"/>
          </w:tcPr>
          <w:p w14:paraId="4DE1270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p>
        </w:tc>
      </w:tr>
      <w:tr w14:paraId="00D0066E">
        <w:tblPrEx>
          <w:tblCellMar>
            <w:top w:w="0" w:type="dxa"/>
            <w:left w:w="108" w:type="dxa"/>
            <w:bottom w:w="0" w:type="dxa"/>
            <w:right w:w="108" w:type="dxa"/>
          </w:tblCellMar>
        </w:tblPrEx>
        <w:trPr>
          <w:trHeight w:val="408" w:hRule="atLeast"/>
          <w:jc w:val="center"/>
        </w:trPr>
        <w:tc>
          <w:tcPr>
            <w:tcW w:w="95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C9AEB1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宋体" w:cs="宋体"/>
                <w:color w:val="000000"/>
                <w:kern w:val="0"/>
                <w:sz w:val="24"/>
                <w:szCs w:val="24"/>
              </w:rPr>
            </w:pPr>
            <w:r>
              <w:rPr>
                <w:rFonts w:hint="eastAsia" w:ascii="Times New Roman" w:hAnsi="Times New Roman" w:eastAsia="方正黑体_GBK" w:cs="方正黑体_GBK"/>
                <w:color w:val="000000"/>
                <w:kern w:val="0"/>
                <w:sz w:val="24"/>
                <w:szCs w:val="24"/>
              </w:rPr>
              <w:t>四、遗体火化费</w:t>
            </w:r>
          </w:p>
        </w:tc>
      </w:tr>
      <w:tr w14:paraId="041EFFF1">
        <w:tblPrEx>
          <w:tblCellMar>
            <w:top w:w="0" w:type="dxa"/>
            <w:left w:w="108" w:type="dxa"/>
            <w:bottom w:w="0" w:type="dxa"/>
            <w:right w:w="108" w:type="dxa"/>
          </w:tblCellMar>
        </w:tblPrEx>
        <w:trPr>
          <w:trHeight w:val="23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7575158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▲（一）</w:t>
            </w:r>
            <w:r>
              <w:rPr>
                <w:rFonts w:hint="eastAsia" w:ascii="Times New Roman" w:hAnsi="Times New Roman" w:eastAsia="方正仿宋_GBK" w:cs="方正仿宋_GBK"/>
                <w:color w:val="000000"/>
                <w:kern w:val="0"/>
                <w:sz w:val="24"/>
                <w:szCs w:val="24"/>
                <w:woUserID w:val="1"/>
              </w:rPr>
              <w:t>平板</w:t>
            </w:r>
            <w:r>
              <w:rPr>
                <w:rFonts w:hint="eastAsia" w:ascii="Times New Roman" w:hAnsi="Times New Roman" w:eastAsia="方正仿宋_GBK" w:cs="方正仿宋_GBK"/>
                <w:color w:val="000000"/>
                <w:kern w:val="0"/>
                <w:sz w:val="24"/>
                <w:szCs w:val="24"/>
              </w:rPr>
              <w:t>火化炉</w:t>
            </w:r>
          </w:p>
        </w:tc>
        <w:tc>
          <w:tcPr>
            <w:tcW w:w="1740" w:type="dxa"/>
            <w:tcBorders>
              <w:top w:val="nil"/>
              <w:left w:val="nil"/>
              <w:bottom w:val="single" w:color="auto" w:sz="4" w:space="0"/>
              <w:right w:val="single" w:color="auto" w:sz="4" w:space="0"/>
            </w:tcBorders>
            <w:shd w:val="clear" w:color="auto" w:fill="auto"/>
            <w:noWrap/>
            <w:vAlign w:val="center"/>
          </w:tcPr>
          <w:p w14:paraId="1E6341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p>
        </w:tc>
        <w:tc>
          <w:tcPr>
            <w:tcW w:w="1152" w:type="dxa"/>
            <w:tcBorders>
              <w:top w:val="nil"/>
              <w:left w:val="nil"/>
              <w:bottom w:val="single" w:color="auto" w:sz="4" w:space="0"/>
              <w:right w:val="single" w:color="auto" w:sz="4" w:space="0"/>
            </w:tcBorders>
            <w:shd w:val="clear" w:color="auto" w:fill="auto"/>
            <w:noWrap/>
            <w:vAlign w:val="center"/>
          </w:tcPr>
          <w:p w14:paraId="2E9567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p>
        </w:tc>
        <w:tc>
          <w:tcPr>
            <w:tcW w:w="3449" w:type="dxa"/>
            <w:tcBorders>
              <w:top w:val="nil"/>
              <w:left w:val="nil"/>
              <w:bottom w:val="single" w:color="auto" w:sz="4" w:space="0"/>
              <w:right w:val="single" w:color="auto" w:sz="4" w:space="0"/>
            </w:tcBorders>
            <w:shd w:val="clear" w:color="auto" w:fill="auto"/>
            <w:vAlign w:val="center"/>
          </w:tcPr>
          <w:p w14:paraId="2D73E1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按渝价〔2008〕463号文执行。含遗体火化、骨灰清理、装盒，遗体火化证。</w:t>
            </w:r>
            <w:r>
              <w:rPr>
                <w:rFonts w:hint="eastAsia" w:ascii="Times New Roman" w:hAnsi="Times New Roman" w:eastAsia="方正仿宋_GBK" w:cs="方正仿宋_GBK"/>
                <w:color w:val="000000"/>
                <w:kern w:val="0"/>
                <w:sz w:val="20"/>
                <w:szCs w:val="20"/>
                <w:lang w:val="en-US" w:eastAsia="zh-CN"/>
              </w:rPr>
              <w:t>腐败、破烂、传染病等非正常死亡遗体的火化费加收50%。</w:t>
            </w:r>
          </w:p>
        </w:tc>
      </w:tr>
      <w:tr w14:paraId="538D8D40">
        <w:tblPrEx>
          <w:tblCellMar>
            <w:top w:w="0" w:type="dxa"/>
            <w:left w:w="108" w:type="dxa"/>
            <w:bottom w:w="0" w:type="dxa"/>
            <w:right w:w="108" w:type="dxa"/>
          </w:tblCellMar>
        </w:tblPrEx>
        <w:trPr>
          <w:trHeight w:val="231" w:hRule="atLeast"/>
          <w:jc w:val="center"/>
        </w:trPr>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CA25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woUserID w:val="1"/>
              </w:rPr>
            </w:pPr>
            <w:r>
              <w:rPr>
                <w:rFonts w:hint="eastAsia" w:ascii="Times New Roman" w:hAnsi="Times New Roman" w:eastAsia="方正仿宋_GBK" w:cs="方正仿宋_GBK"/>
                <w:color w:val="000000"/>
                <w:kern w:val="0"/>
                <w:sz w:val="24"/>
                <w:szCs w:val="24"/>
                <w:woUserID w:val="1"/>
              </w:rPr>
              <w:t>1.7岁以上遗体</w:t>
            </w:r>
          </w:p>
        </w:tc>
        <w:tc>
          <w:tcPr>
            <w:tcW w:w="1740" w:type="dxa"/>
            <w:tcBorders>
              <w:top w:val="single" w:color="auto" w:sz="4" w:space="0"/>
              <w:left w:val="nil"/>
              <w:bottom w:val="single" w:color="auto" w:sz="4" w:space="0"/>
              <w:right w:val="single" w:color="auto" w:sz="4" w:space="0"/>
            </w:tcBorders>
            <w:shd w:val="clear" w:color="auto" w:fill="auto"/>
            <w:noWrap/>
            <w:vAlign w:val="center"/>
          </w:tcPr>
          <w:p w14:paraId="5AB335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woUserID w:val="1"/>
              </w:rPr>
              <w:t>具</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20070E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woUserID w:val="1"/>
              </w:rPr>
              <w:t>400</w:t>
            </w:r>
          </w:p>
        </w:tc>
        <w:tc>
          <w:tcPr>
            <w:tcW w:w="3449" w:type="dxa"/>
            <w:tcBorders>
              <w:top w:val="single" w:color="auto" w:sz="4" w:space="0"/>
              <w:left w:val="nil"/>
              <w:bottom w:val="single" w:color="auto" w:sz="4" w:space="0"/>
              <w:right w:val="single" w:color="auto" w:sz="4" w:space="0"/>
            </w:tcBorders>
            <w:shd w:val="clear" w:color="auto" w:fill="auto"/>
            <w:vAlign w:val="center"/>
          </w:tcPr>
          <w:p w14:paraId="0551FF5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p>
        </w:tc>
      </w:tr>
      <w:tr w14:paraId="26EC520D">
        <w:tblPrEx>
          <w:tblCellMar>
            <w:top w:w="0" w:type="dxa"/>
            <w:left w:w="108" w:type="dxa"/>
            <w:bottom w:w="0" w:type="dxa"/>
            <w:right w:w="108" w:type="dxa"/>
          </w:tblCellMar>
        </w:tblPrEx>
        <w:trPr>
          <w:trHeight w:val="23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144D104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woUserID w:val="1"/>
              </w:rPr>
              <w:t>2.7岁以下遗体</w:t>
            </w:r>
          </w:p>
        </w:tc>
        <w:tc>
          <w:tcPr>
            <w:tcW w:w="1740" w:type="dxa"/>
            <w:tcBorders>
              <w:top w:val="nil"/>
              <w:left w:val="nil"/>
              <w:bottom w:val="single" w:color="auto" w:sz="4" w:space="0"/>
              <w:right w:val="single" w:color="auto" w:sz="4" w:space="0"/>
            </w:tcBorders>
            <w:shd w:val="clear" w:color="auto" w:fill="auto"/>
            <w:noWrap/>
            <w:vAlign w:val="center"/>
          </w:tcPr>
          <w:p w14:paraId="7DEAA0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woUserID w:val="1"/>
              </w:rPr>
              <w:t>具</w:t>
            </w:r>
          </w:p>
        </w:tc>
        <w:tc>
          <w:tcPr>
            <w:tcW w:w="1152" w:type="dxa"/>
            <w:tcBorders>
              <w:top w:val="nil"/>
              <w:left w:val="nil"/>
              <w:bottom w:val="single" w:color="auto" w:sz="4" w:space="0"/>
              <w:right w:val="single" w:color="auto" w:sz="4" w:space="0"/>
            </w:tcBorders>
            <w:shd w:val="clear" w:color="auto" w:fill="auto"/>
            <w:noWrap/>
            <w:vAlign w:val="center"/>
          </w:tcPr>
          <w:p w14:paraId="2A5B907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woUserID w:val="1"/>
              </w:rPr>
            </w:pPr>
            <w:r>
              <w:rPr>
                <w:rFonts w:hint="eastAsia" w:ascii="Times New Roman" w:hAnsi="Times New Roman" w:eastAsia="方正仿宋_GBK" w:cs="方正仿宋_GBK"/>
                <w:color w:val="000000"/>
                <w:kern w:val="0"/>
                <w:sz w:val="24"/>
                <w:szCs w:val="24"/>
                <w:woUserID w:val="1"/>
              </w:rPr>
              <w:t>350</w:t>
            </w:r>
          </w:p>
        </w:tc>
        <w:tc>
          <w:tcPr>
            <w:tcW w:w="3449" w:type="dxa"/>
            <w:tcBorders>
              <w:top w:val="nil"/>
              <w:left w:val="nil"/>
              <w:bottom w:val="single" w:color="auto" w:sz="4" w:space="0"/>
              <w:right w:val="single" w:color="auto" w:sz="4" w:space="0"/>
            </w:tcBorders>
            <w:shd w:val="clear" w:color="auto" w:fill="auto"/>
            <w:vAlign w:val="center"/>
          </w:tcPr>
          <w:p w14:paraId="30E7743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p>
        </w:tc>
      </w:tr>
      <w:tr w14:paraId="4CA96EF8">
        <w:tblPrEx>
          <w:tblCellMar>
            <w:top w:w="0" w:type="dxa"/>
            <w:left w:w="108" w:type="dxa"/>
            <w:bottom w:w="0" w:type="dxa"/>
            <w:right w:w="108" w:type="dxa"/>
          </w:tblCellMar>
        </w:tblPrEx>
        <w:trPr>
          <w:trHeight w:val="231"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2366102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woUserID w:val="1"/>
              </w:rPr>
            </w:pPr>
            <w:r>
              <w:rPr>
                <w:rFonts w:hint="eastAsia" w:ascii="Times New Roman" w:hAnsi="Times New Roman" w:eastAsia="方正仿宋_GBK" w:cs="方正仿宋_GBK"/>
                <w:color w:val="000000"/>
                <w:kern w:val="0"/>
                <w:sz w:val="24"/>
                <w:szCs w:val="24"/>
                <w:woUserID w:val="1"/>
              </w:rPr>
              <w:t>3.胎儿</w:t>
            </w:r>
          </w:p>
        </w:tc>
        <w:tc>
          <w:tcPr>
            <w:tcW w:w="1740" w:type="dxa"/>
            <w:tcBorders>
              <w:top w:val="nil"/>
              <w:left w:val="nil"/>
              <w:bottom w:val="single" w:color="auto" w:sz="4" w:space="0"/>
              <w:right w:val="single" w:color="auto" w:sz="4" w:space="0"/>
            </w:tcBorders>
            <w:shd w:val="clear" w:color="auto" w:fill="auto"/>
            <w:noWrap/>
            <w:vAlign w:val="center"/>
          </w:tcPr>
          <w:p w14:paraId="112FBE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woUserID w:val="1"/>
              </w:rPr>
              <w:t>具</w:t>
            </w:r>
          </w:p>
        </w:tc>
        <w:tc>
          <w:tcPr>
            <w:tcW w:w="1152" w:type="dxa"/>
            <w:tcBorders>
              <w:top w:val="nil"/>
              <w:left w:val="nil"/>
              <w:bottom w:val="single" w:color="auto" w:sz="4" w:space="0"/>
              <w:right w:val="single" w:color="auto" w:sz="4" w:space="0"/>
            </w:tcBorders>
            <w:shd w:val="clear" w:color="auto" w:fill="auto"/>
            <w:noWrap/>
            <w:vAlign w:val="center"/>
          </w:tcPr>
          <w:p w14:paraId="1CB2FBD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woUserID w:val="1"/>
              </w:rPr>
            </w:pPr>
            <w:r>
              <w:rPr>
                <w:rFonts w:hint="eastAsia" w:ascii="Times New Roman" w:hAnsi="Times New Roman" w:eastAsia="方正仿宋_GBK" w:cs="方正仿宋_GBK"/>
                <w:color w:val="000000"/>
                <w:kern w:val="0"/>
                <w:sz w:val="24"/>
                <w:szCs w:val="24"/>
                <w:woUserID w:val="1"/>
              </w:rPr>
              <w:t>200</w:t>
            </w:r>
          </w:p>
        </w:tc>
        <w:tc>
          <w:tcPr>
            <w:tcW w:w="3449" w:type="dxa"/>
            <w:tcBorders>
              <w:top w:val="nil"/>
              <w:left w:val="nil"/>
              <w:bottom w:val="single" w:color="auto" w:sz="4" w:space="0"/>
              <w:right w:val="single" w:color="auto" w:sz="4" w:space="0"/>
            </w:tcBorders>
            <w:shd w:val="clear" w:color="auto" w:fill="auto"/>
            <w:vAlign w:val="center"/>
          </w:tcPr>
          <w:p w14:paraId="0F4EF7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p>
        </w:tc>
      </w:tr>
      <w:tr w14:paraId="12DDD7BA">
        <w:tblPrEx>
          <w:tblCellMar>
            <w:top w:w="0" w:type="dxa"/>
            <w:left w:w="108" w:type="dxa"/>
            <w:bottom w:w="0" w:type="dxa"/>
            <w:right w:w="108" w:type="dxa"/>
          </w:tblCellMar>
        </w:tblPrEx>
        <w:trPr>
          <w:trHeight w:val="244"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001D8F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▲（二）台式拣灰炉</w:t>
            </w:r>
          </w:p>
        </w:tc>
        <w:tc>
          <w:tcPr>
            <w:tcW w:w="1740" w:type="dxa"/>
            <w:tcBorders>
              <w:top w:val="nil"/>
              <w:left w:val="nil"/>
              <w:bottom w:val="single" w:color="auto" w:sz="4" w:space="0"/>
              <w:right w:val="single" w:color="auto" w:sz="4" w:space="0"/>
            </w:tcBorders>
            <w:shd w:val="clear" w:color="auto" w:fill="auto"/>
            <w:noWrap/>
            <w:vAlign w:val="center"/>
          </w:tcPr>
          <w:p w14:paraId="042D6A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具</w:t>
            </w:r>
          </w:p>
        </w:tc>
        <w:tc>
          <w:tcPr>
            <w:tcW w:w="1152" w:type="dxa"/>
            <w:tcBorders>
              <w:top w:val="nil"/>
              <w:left w:val="nil"/>
              <w:bottom w:val="single" w:color="auto" w:sz="4" w:space="0"/>
              <w:right w:val="single" w:color="auto" w:sz="4" w:space="0"/>
            </w:tcBorders>
            <w:shd w:val="clear" w:color="auto" w:fill="auto"/>
            <w:noWrap/>
            <w:vAlign w:val="center"/>
          </w:tcPr>
          <w:p w14:paraId="30693B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900</w:t>
            </w:r>
          </w:p>
        </w:tc>
        <w:tc>
          <w:tcPr>
            <w:tcW w:w="3449" w:type="dxa"/>
            <w:tcBorders>
              <w:top w:val="nil"/>
              <w:left w:val="nil"/>
              <w:bottom w:val="single" w:color="auto" w:sz="4" w:space="0"/>
              <w:right w:val="single" w:color="auto" w:sz="4" w:space="0"/>
            </w:tcBorders>
            <w:shd w:val="clear" w:color="auto" w:fill="auto"/>
            <w:vAlign w:val="center"/>
          </w:tcPr>
          <w:p w14:paraId="45FB47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按渝价〔2008〕463号文执行。含遗体火化、骨灰清理、装盒，遗体火化证。</w:t>
            </w:r>
            <w:r>
              <w:rPr>
                <w:rFonts w:hint="eastAsia" w:ascii="Times New Roman" w:hAnsi="Times New Roman" w:eastAsia="方正仿宋_GBK" w:cs="方正仿宋_GBK"/>
                <w:color w:val="000000"/>
                <w:kern w:val="0"/>
                <w:sz w:val="20"/>
                <w:szCs w:val="20"/>
                <w:lang w:val="en-US" w:eastAsia="zh-CN"/>
              </w:rPr>
              <w:t>腐败、破烂、传染病等非正常死亡遗体的火化费加收50%。</w:t>
            </w:r>
          </w:p>
        </w:tc>
      </w:tr>
      <w:tr w14:paraId="21809003">
        <w:tblPrEx>
          <w:tblCellMar>
            <w:top w:w="0" w:type="dxa"/>
            <w:left w:w="108" w:type="dxa"/>
            <w:bottom w:w="0" w:type="dxa"/>
            <w:right w:w="108" w:type="dxa"/>
          </w:tblCellMar>
        </w:tblPrEx>
        <w:trPr>
          <w:trHeight w:val="160" w:hRule="atLeast"/>
          <w:jc w:val="center"/>
        </w:trPr>
        <w:tc>
          <w:tcPr>
            <w:tcW w:w="95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A66C58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宋体" w:cs="宋体"/>
                <w:color w:val="000000"/>
                <w:kern w:val="0"/>
                <w:sz w:val="24"/>
                <w:szCs w:val="24"/>
              </w:rPr>
            </w:pPr>
            <w:r>
              <w:rPr>
                <w:rFonts w:hint="eastAsia" w:ascii="Times New Roman" w:hAnsi="Times New Roman" w:eastAsia="方正黑体_GBK" w:cs="方正黑体_GBK"/>
                <w:color w:val="000000"/>
                <w:kern w:val="0"/>
                <w:sz w:val="24"/>
                <w:szCs w:val="24"/>
              </w:rPr>
              <w:t>五、骨灰寄存费（适用于殡仪馆）</w:t>
            </w:r>
          </w:p>
        </w:tc>
      </w:tr>
      <w:tr w14:paraId="48E5AE7D">
        <w:tblPrEx>
          <w:tblCellMar>
            <w:top w:w="0" w:type="dxa"/>
            <w:left w:w="108" w:type="dxa"/>
            <w:bottom w:w="0" w:type="dxa"/>
            <w:right w:w="108" w:type="dxa"/>
          </w:tblCellMar>
        </w:tblPrEx>
        <w:trPr>
          <w:trHeight w:val="417"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1CE5D02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▲（一）长期寄存</w:t>
            </w:r>
          </w:p>
        </w:tc>
        <w:tc>
          <w:tcPr>
            <w:tcW w:w="1740" w:type="dxa"/>
            <w:tcBorders>
              <w:top w:val="nil"/>
              <w:left w:val="nil"/>
              <w:bottom w:val="single" w:color="auto" w:sz="4" w:space="0"/>
              <w:right w:val="single" w:color="auto" w:sz="4" w:space="0"/>
            </w:tcBorders>
            <w:shd w:val="clear" w:color="auto" w:fill="auto"/>
            <w:noWrap/>
            <w:vAlign w:val="center"/>
          </w:tcPr>
          <w:p w14:paraId="05B1CF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盒/年</w:t>
            </w:r>
          </w:p>
        </w:tc>
        <w:tc>
          <w:tcPr>
            <w:tcW w:w="1152" w:type="dxa"/>
            <w:tcBorders>
              <w:top w:val="nil"/>
              <w:left w:val="nil"/>
              <w:bottom w:val="single" w:color="auto" w:sz="4" w:space="0"/>
              <w:right w:val="single" w:color="auto" w:sz="4" w:space="0"/>
            </w:tcBorders>
            <w:shd w:val="clear" w:color="auto" w:fill="auto"/>
            <w:vAlign w:val="center"/>
          </w:tcPr>
          <w:p w14:paraId="00B0DE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低档6</w:t>
            </w:r>
            <w:r>
              <w:rPr>
                <w:rFonts w:hint="eastAsia" w:ascii="Times New Roman" w:hAnsi="Times New Roman" w:eastAsia="方正仿宋_GBK" w:cs="方正仿宋_GBK"/>
                <w:color w:val="000000"/>
                <w:kern w:val="0"/>
                <w:sz w:val="24"/>
                <w:szCs w:val="24"/>
                <w:lang w:val="en-US" w:eastAsia="zh-CN"/>
              </w:rPr>
              <w:t xml:space="preserve">0；     </w:t>
            </w:r>
          </w:p>
          <w:p w14:paraId="7B358D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lang w:val="en-US" w:eastAsia="zh-CN"/>
              </w:rPr>
            </w:pPr>
            <w:r>
              <w:rPr>
                <w:rFonts w:hint="eastAsia" w:ascii="Times New Roman" w:hAnsi="Times New Roman" w:eastAsia="方正仿宋_GBK" w:cs="方正仿宋_GBK"/>
                <w:color w:val="000000"/>
                <w:kern w:val="0"/>
                <w:sz w:val="24"/>
                <w:szCs w:val="24"/>
              </w:rPr>
              <w:t>中档130；</w:t>
            </w:r>
            <w:r>
              <w:rPr>
                <w:rFonts w:hint="eastAsia" w:ascii="Times New Roman" w:hAnsi="Times New Roman" w:eastAsia="方正仿宋_GBK" w:cs="方正仿宋_GBK"/>
                <w:color w:val="000000"/>
                <w:kern w:val="0"/>
                <w:sz w:val="24"/>
                <w:szCs w:val="24"/>
                <w:lang w:val="en-US" w:eastAsia="zh-CN"/>
              </w:rPr>
              <w:t xml:space="preserve"> </w:t>
            </w:r>
          </w:p>
          <w:p w14:paraId="5B77116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高档150。</w:t>
            </w:r>
          </w:p>
        </w:tc>
        <w:tc>
          <w:tcPr>
            <w:tcW w:w="3449" w:type="dxa"/>
            <w:tcBorders>
              <w:top w:val="nil"/>
              <w:left w:val="nil"/>
              <w:bottom w:val="single" w:color="auto" w:sz="4" w:space="0"/>
              <w:right w:val="single" w:color="auto" w:sz="4" w:space="0"/>
            </w:tcBorders>
            <w:shd w:val="clear" w:color="auto" w:fill="auto"/>
            <w:vAlign w:val="center"/>
          </w:tcPr>
          <w:p w14:paraId="12BCA81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按渝价〔2008〕463号文执行。含骨灰盒的安放、保管，骨灰安放证。</w:t>
            </w:r>
          </w:p>
        </w:tc>
      </w:tr>
      <w:tr w14:paraId="179983FE">
        <w:tblPrEx>
          <w:tblCellMar>
            <w:top w:w="0" w:type="dxa"/>
            <w:left w:w="108" w:type="dxa"/>
            <w:bottom w:w="0" w:type="dxa"/>
            <w:right w:w="108" w:type="dxa"/>
          </w:tblCellMar>
        </w:tblPrEx>
        <w:trPr>
          <w:trHeight w:val="147" w:hRule="atLeast"/>
          <w:jc w:val="center"/>
        </w:trPr>
        <w:tc>
          <w:tcPr>
            <w:tcW w:w="3185" w:type="dxa"/>
            <w:tcBorders>
              <w:top w:val="nil"/>
              <w:left w:val="single" w:color="auto" w:sz="4" w:space="0"/>
              <w:bottom w:val="single" w:color="auto" w:sz="4" w:space="0"/>
              <w:right w:val="single" w:color="auto" w:sz="4" w:space="0"/>
            </w:tcBorders>
            <w:shd w:val="clear" w:color="auto" w:fill="auto"/>
            <w:noWrap/>
            <w:vAlign w:val="center"/>
          </w:tcPr>
          <w:p w14:paraId="4EB00D9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▲（二）短期寄存</w:t>
            </w:r>
          </w:p>
        </w:tc>
        <w:tc>
          <w:tcPr>
            <w:tcW w:w="1740" w:type="dxa"/>
            <w:tcBorders>
              <w:top w:val="nil"/>
              <w:left w:val="nil"/>
              <w:bottom w:val="single" w:color="auto" w:sz="4" w:space="0"/>
              <w:right w:val="single" w:color="auto" w:sz="4" w:space="0"/>
            </w:tcBorders>
            <w:shd w:val="clear" w:color="auto" w:fill="auto"/>
            <w:noWrap/>
            <w:vAlign w:val="center"/>
          </w:tcPr>
          <w:p w14:paraId="1A4C6A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盒/月</w:t>
            </w:r>
          </w:p>
        </w:tc>
        <w:tc>
          <w:tcPr>
            <w:tcW w:w="1152" w:type="dxa"/>
            <w:tcBorders>
              <w:top w:val="nil"/>
              <w:left w:val="nil"/>
              <w:bottom w:val="single" w:color="auto" w:sz="4" w:space="0"/>
              <w:right w:val="single" w:color="auto" w:sz="4" w:space="0"/>
            </w:tcBorders>
            <w:shd w:val="clear" w:color="auto" w:fill="auto"/>
            <w:noWrap/>
            <w:vAlign w:val="center"/>
          </w:tcPr>
          <w:p w14:paraId="0A52C5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20</w:t>
            </w:r>
          </w:p>
        </w:tc>
        <w:tc>
          <w:tcPr>
            <w:tcW w:w="3449" w:type="dxa"/>
            <w:tcBorders>
              <w:top w:val="nil"/>
              <w:left w:val="nil"/>
              <w:bottom w:val="single" w:color="auto" w:sz="4" w:space="0"/>
              <w:right w:val="single" w:color="auto" w:sz="4" w:space="0"/>
            </w:tcBorders>
            <w:shd w:val="clear" w:color="auto" w:fill="auto"/>
            <w:noWrap/>
            <w:vAlign w:val="center"/>
          </w:tcPr>
          <w:p w14:paraId="03CA95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0"/>
                <w:szCs w:val="20"/>
              </w:rPr>
            </w:pPr>
            <w:r>
              <w:rPr>
                <w:rFonts w:hint="eastAsia" w:ascii="Times New Roman" w:hAnsi="Times New Roman" w:eastAsia="方正仿宋_GBK" w:cs="方正仿宋_GBK"/>
                <w:color w:val="000000"/>
                <w:kern w:val="0"/>
                <w:sz w:val="20"/>
                <w:szCs w:val="20"/>
              </w:rPr>
              <w:t>以一个月为计算单位。</w:t>
            </w:r>
          </w:p>
        </w:tc>
      </w:tr>
      <w:tr w14:paraId="126E2A18">
        <w:tblPrEx>
          <w:tblCellMar>
            <w:top w:w="0" w:type="dxa"/>
            <w:left w:w="108" w:type="dxa"/>
            <w:bottom w:w="0" w:type="dxa"/>
            <w:right w:w="108" w:type="dxa"/>
          </w:tblCellMar>
        </w:tblPrEx>
        <w:trPr>
          <w:trHeight w:val="167" w:hRule="atLeast"/>
          <w:jc w:val="center"/>
        </w:trPr>
        <w:tc>
          <w:tcPr>
            <w:tcW w:w="9526" w:type="dxa"/>
            <w:gridSpan w:val="4"/>
            <w:tcBorders>
              <w:top w:val="nil"/>
              <w:left w:val="single" w:color="auto" w:sz="4" w:space="0"/>
              <w:right w:val="single" w:color="auto" w:sz="4" w:space="0"/>
            </w:tcBorders>
            <w:shd w:val="clear" w:color="auto" w:fill="auto"/>
            <w:noWrap/>
            <w:vAlign w:val="center"/>
          </w:tcPr>
          <w:p w14:paraId="2D85447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000000"/>
                <w:kern w:val="0"/>
                <w:sz w:val="22"/>
              </w:rPr>
            </w:pPr>
            <w:r>
              <w:rPr>
                <w:rFonts w:hint="eastAsia" w:ascii="Times New Roman" w:hAnsi="Times New Roman" w:eastAsia="方正仿宋_GBK" w:cs="方正仿宋_GBK"/>
                <w:color w:val="000000"/>
                <w:kern w:val="0"/>
                <w:sz w:val="24"/>
                <w:szCs w:val="24"/>
              </w:rPr>
              <w:t xml:space="preserve">  注：1.标注“▲”号的项目为丧属可以自愿选择的收费项目。</w:t>
            </w:r>
            <w:r>
              <w:rPr>
                <w:rFonts w:hint="eastAsia" w:ascii="Times New Roman" w:hAnsi="Times New Roman" w:eastAsia="方正仿宋_GBK" w:cs="方正仿宋_GBK"/>
                <w:color w:val="000000"/>
                <w:kern w:val="0"/>
                <w:sz w:val="22"/>
              </w:rPr>
              <w:t>　</w:t>
            </w:r>
          </w:p>
        </w:tc>
      </w:tr>
      <w:tr w14:paraId="4B42DC64">
        <w:tblPrEx>
          <w:tblCellMar>
            <w:top w:w="0" w:type="dxa"/>
            <w:left w:w="108" w:type="dxa"/>
            <w:bottom w:w="0" w:type="dxa"/>
            <w:right w:w="108" w:type="dxa"/>
          </w:tblCellMar>
        </w:tblPrEx>
        <w:trPr>
          <w:trHeight w:val="314" w:hRule="atLeast"/>
          <w:jc w:val="center"/>
        </w:trPr>
        <w:tc>
          <w:tcPr>
            <w:tcW w:w="9526" w:type="dxa"/>
            <w:gridSpan w:val="4"/>
            <w:tcBorders>
              <w:left w:val="single" w:color="auto" w:sz="4" w:space="0"/>
              <w:bottom w:val="single" w:color="auto" w:sz="4" w:space="0"/>
              <w:right w:val="single" w:color="auto" w:sz="4" w:space="0"/>
            </w:tcBorders>
            <w:shd w:val="clear" w:color="auto" w:fill="auto"/>
            <w:vAlign w:val="center"/>
          </w:tcPr>
          <w:p w14:paraId="2D403E05">
            <w:pPr>
              <w:keepNext w:val="0"/>
              <w:keepLines w:val="0"/>
              <w:pageBreakBefore w:val="0"/>
              <w:widowControl/>
              <w:numPr>
                <w:ilvl w:val="0"/>
                <w:numId w:val="0"/>
              </w:numPr>
              <w:kinsoku/>
              <w:wordWrap/>
              <w:overflowPunct/>
              <w:topLinePunct w:val="0"/>
              <w:autoSpaceDE/>
              <w:autoSpaceDN/>
              <w:bidi w:val="0"/>
              <w:adjustRightInd/>
              <w:snapToGrid/>
              <w:spacing w:line="400" w:lineRule="exact"/>
              <w:ind w:left="958" w:leftChars="342" w:hanging="240" w:hangingChars="10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2.</w:t>
            </w:r>
            <w:r>
              <w:rPr>
                <w:rFonts w:hint="eastAsia" w:ascii="Times New Roman" w:hAnsi="Times New Roman" w:eastAsia="方正仿宋_GBK" w:cs="方正仿宋_GBK"/>
                <w:color w:val="000000"/>
                <w:kern w:val="0"/>
                <w:sz w:val="24"/>
                <w:szCs w:val="24"/>
              </w:rPr>
              <w:t>殡仪馆正常作息时间为8</w:t>
            </w:r>
            <w:r>
              <w:rPr>
                <w:rFonts w:hint="eastAsia" w:ascii="Times New Roman" w:hAnsi="Times New Roman" w:eastAsia="方正仿宋_GBK" w:cs="方正仿宋_GBK"/>
                <w:color w:val="000000"/>
                <w:kern w:val="0"/>
                <w:sz w:val="24"/>
                <w:szCs w:val="24"/>
                <w:lang w:eastAsia="zh-CN"/>
              </w:rPr>
              <w:t>:</w:t>
            </w:r>
            <w:r>
              <w:rPr>
                <w:rFonts w:hint="eastAsia" w:ascii="Times New Roman" w:hAnsi="Times New Roman" w:eastAsia="方正仿宋_GBK" w:cs="方正仿宋_GBK"/>
                <w:color w:val="000000"/>
                <w:kern w:val="0"/>
                <w:sz w:val="24"/>
                <w:szCs w:val="24"/>
              </w:rPr>
              <w:t>00-18</w:t>
            </w:r>
            <w:r>
              <w:rPr>
                <w:rFonts w:hint="eastAsia" w:ascii="Times New Roman" w:hAnsi="Times New Roman" w:eastAsia="方正仿宋_GBK" w:cs="方正仿宋_GBK"/>
                <w:color w:val="000000"/>
                <w:kern w:val="0"/>
                <w:sz w:val="24"/>
                <w:szCs w:val="24"/>
                <w:lang w:eastAsia="zh-CN"/>
              </w:rPr>
              <w:t>:</w:t>
            </w:r>
            <w:r>
              <w:rPr>
                <w:rFonts w:hint="eastAsia" w:ascii="Times New Roman" w:hAnsi="Times New Roman" w:eastAsia="方正仿宋_GBK" w:cs="方正仿宋_GBK"/>
                <w:color w:val="000000"/>
                <w:kern w:val="0"/>
                <w:sz w:val="24"/>
                <w:szCs w:val="24"/>
              </w:rPr>
              <w:t>00，其余时间提供的遗体火化</w:t>
            </w:r>
            <w:r>
              <w:rPr>
                <w:rFonts w:hint="eastAsia" w:ascii="Times New Roman" w:hAnsi="Times New Roman" w:eastAsia="方正仿宋_GBK" w:cs="方正仿宋_GBK"/>
                <w:color w:val="000000"/>
                <w:kern w:val="0"/>
                <w:sz w:val="24"/>
                <w:szCs w:val="24"/>
                <w:lang w:eastAsia="zh-CN"/>
              </w:rPr>
              <w:t>、</w:t>
            </w:r>
            <w:r>
              <w:rPr>
                <w:rFonts w:hint="eastAsia" w:ascii="Times New Roman" w:hAnsi="Times New Roman" w:eastAsia="方正仿宋_GBK" w:cs="方正仿宋_GBK"/>
                <w:color w:val="000000"/>
                <w:kern w:val="0"/>
                <w:sz w:val="24"/>
                <w:szCs w:val="24"/>
              </w:rPr>
              <w:t>遗体接运费加收20%</w:t>
            </w:r>
            <w:r>
              <w:rPr>
                <w:rFonts w:hint="eastAsia" w:ascii="Times New Roman" w:hAnsi="Times New Roman" w:eastAsia="方正仿宋_GBK" w:cs="方正仿宋_GBK"/>
                <w:color w:val="000000"/>
                <w:kern w:val="0"/>
                <w:sz w:val="24"/>
                <w:szCs w:val="24"/>
                <w:lang w:val="en-US" w:eastAsia="zh-CN"/>
              </w:rPr>
              <w:t>（渝价〔2008〕463号）</w:t>
            </w:r>
            <w:r>
              <w:rPr>
                <w:rFonts w:hint="eastAsia" w:ascii="Times New Roman" w:hAnsi="Times New Roman" w:eastAsia="方正仿宋_GBK" w:cs="方正仿宋_GBK"/>
                <w:color w:val="000000"/>
                <w:kern w:val="0"/>
                <w:sz w:val="24"/>
                <w:szCs w:val="24"/>
              </w:rPr>
              <w:t>。</w:t>
            </w:r>
          </w:p>
          <w:p w14:paraId="541B8F13">
            <w:pPr>
              <w:keepNext w:val="0"/>
              <w:keepLines w:val="0"/>
              <w:pageBreakBefore w:val="0"/>
              <w:widowControl/>
              <w:numPr>
                <w:ilvl w:val="0"/>
                <w:numId w:val="0"/>
              </w:numPr>
              <w:kinsoku/>
              <w:wordWrap/>
              <w:overflowPunct/>
              <w:topLinePunct w:val="0"/>
              <w:autoSpaceDE/>
              <w:autoSpaceDN/>
              <w:bidi w:val="0"/>
              <w:adjustRightInd/>
              <w:snapToGrid/>
              <w:spacing w:line="400" w:lineRule="exact"/>
              <w:ind w:left="958" w:leftChars="342" w:hanging="240" w:hangingChars="100"/>
              <w:jc w:val="left"/>
              <w:textAlignment w:val="auto"/>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lang w:val="en-US" w:eastAsia="zh-CN"/>
              </w:rPr>
              <w:t>3.</w:t>
            </w:r>
            <w:r>
              <w:rPr>
                <w:rFonts w:hint="eastAsia" w:ascii="Times New Roman" w:hAnsi="Times New Roman" w:eastAsia="方正仿宋_GBK" w:cs="方正仿宋_GBK"/>
                <w:color w:val="000000"/>
                <w:kern w:val="0"/>
                <w:sz w:val="24"/>
                <w:szCs w:val="24"/>
                <w:lang w:eastAsia="zh-CN"/>
              </w:rPr>
              <w:t>此表收费项目：除“</w:t>
            </w:r>
            <w:r>
              <w:rPr>
                <w:rFonts w:hint="eastAsia" w:ascii="Times New Roman" w:hAnsi="Times New Roman" w:eastAsia="方正仿宋_GBK" w:cs="方正仿宋_GBK"/>
                <w:color w:val="000000"/>
                <w:kern w:val="0"/>
                <w:sz w:val="24"/>
                <w:szCs w:val="24"/>
              </w:rPr>
              <w:t>穿脱衣服</w:t>
            </w:r>
            <w:r>
              <w:rPr>
                <w:rFonts w:hint="eastAsia" w:ascii="Times New Roman" w:hAnsi="Times New Roman" w:eastAsia="方正仿宋_GBK" w:cs="方正仿宋_GBK"/>
                <w:color w:val="000000"/>
                <w:kern w:val="0"/>
                <w:sz w:val="24"/>
                <w:szCs w:val="24"/>
                <w:lang w:eastAsia="zh-CN"/>
              </w:rPr>
              <w:t>”“</w:t>
            </w:r>
            <w:r>
              <w:rPr>
                <w:rFonts w:hint="eastAsia" w:ascii="Times New Roman" w:hAnsi="Times New Roman" w:eastAsia="方正仿宋_GBK" w:cs="方正仿宋_GBK"/>
                <w:color w:val="000000"/>
                <w:kern w:val="0"/>
                <w:sz w:val="24"/>
                <w:szCs w:val="24"/>
              </w:rPr>
              <w:t>一般化妆</w:t>
            </w:r>
            <w:r>
              <w:rPr>
                <w:rFonts w:hint="eastAsia" w:ascii="Times New Roman" w:hAnsi="Times New Roman" w:eastAsia="方正仿宋_GBK" w:cs="方正仿宋_GBK"/>
                <w:color w:val="000000"/>
                <w:kern w:val="0"/>
                <w:sz w:val="24"/>
                <w:szCs w:val="24"/>
                <w:lang w:eastAsia="zh-CN"/>
              </w:rPr>
              <w:t>”“</w:t>
            </w:r>
            <w:bookmarkStart w:id="0" w:name="_GoBack"/>
            <w:bookmarkEnd w:id="0"/>
            <w:r>
              <w:rPr>
                <w:rFonts w:hint="eastAsia" w:ascii="Times New Roman" w:hAnsi="Times New Roman" w:eastAsia="方正仿宋_GBK" w:cs="方正仿宋_GBK"/>
                <w:color w:val="000000"/>
                <w:kern w:val="0"/>
                <w:sz w:val="24"/>
                <w:szCs w:val="24"/>
              </w:rPr>
              <w:t>一般整容</w:t>
            </w:r>
            <w:r>
              <w:rPr>
                <w:rFonts w:hint="eastAsia" w:ascii="Times New Roman" w:hAnsi="Times New Roman" w:eastAsia="方正仿宋_GBK" w:cs="方正仿宋_GBK"/>
                <w:color w:val="000000"/>
                <w:kern w:val="0"/>
                <w:sz w:val="24"/>
                <w:szCs w:val="24"/>
                <w:lang w:eastAsia="zh-CN"/>
              </w:rPr>
              <w:t>”三个为政府指导价外，其余均为政府定价。</w:t>
            </w:r>
          </w:p>
        </w:tc>
      </w:tr>
    </w:tbl>
    <w:p w14:paraId="768ED133">
      <w:pPr>
        <w:rPr>
          <w:rFonts w:ascii="Times New Roman" w:hAnsi="Times New Roman" w:eastAsia="方正黑体_GBK" w:cs="Times New Roman"/>
          <w:sz w:val="32"/>
          <w:szCs w:val="32"/>
        </w:rPr>
      </w:pPr>
    </w:p>
    <w:p w14:paraId="154CE0EC">
      <w:pPr>
        <w:rPr>
          <w:rFonts w:ascii="Times New Roman" w:hAnsi="Times New Roman" w:eastAsia="方正黑体_GBK" w:cs="Times New Roman"/>
          <w:sz w:val="32"/>
          <w:szCs w:val="32"/>
        </w:rPr>
      </w:pPr>
    </w:p>
    <w:p w14:paraId="1920D497">
      <w:pPr>
        <w:rPr>
          <w:rFonts w:ascii="Times New Roman" w:hAnsi="Times New Roman" w:eastAsia="方正黑体_GBK" w:cs="Times New Roman"/>
          <w:sz w:val="32"/>
          <w:szCs w:val="32"/>
        </w:rPr>
      </w:pPr>
    </w:p>
    <w:p w14:paraId="5F83EF09">
      <w:pPr>
        <w:rPr>
          <w:rFonts w:ascii="Times New Roman" w:hAnsi="Times New Roman" w:eastAsia="方正黑体_GBK" w:cs="Times New Roman"/>
          <w:sz w:val="32"/>
          <w:szCs w:val="32"/>
        </w:rPr>
      </w:pPr>
    </w:p>
    <w:p w14:paraId="61470656">
      <w:pPr>
        <w:rPr>
          <w:rFonts w:ascii="Times New Roman" w:hAnsi="Times New Roman" w:eastAsia="方正黑体_GBK" w:cs="Times New Roman"/>
          <w:sz w:val="32"/>
          <w:szCs w:val="32"/>
        </w:rPr>
      </w:pPr>
    </w:p>
    <w:tbl>
      <w:tblPr>
        <w:tblStyle w:val="4"/>
        <w:tblW w:w="9526" w:type="dxa"/>
        <w:jc w:val="center"/>
        <w:tblLayout w:type="fixed"/>
        <w:tblCellMar>
          <w:top w:w="0" w:type="dxa"/>
          <w:left w:w="108" w:type="dxa"/>
          <w:bottom w:w="0" w:type="dxa"/>
          <w:right w:w="108" w:type="dxa"/>
        </w:tblCellMar>
      </w:tblPr>
      <w:tblGrid>
        <w:gridCol w:w="9526"/>
      </w:tblGrid>
      <w:tr w14:paraId="12836488">
        <w:tblPrEx>
          <w:tblCellMar>
            <w:top w:w="0" w:type="dxa"/>
            <w:left w:w="108" w:type="dxa"/>
            <w:bottom w:w="0" w:type="dxa"/>
            <w:right w:w="108" w:type="dxa"/>
          </w:tblCellMar>
        </w:tblPrEx>
        <w:trPr>
          <w:trHeight w:val="160" w:hRule="atLeast"/>
          <w:jc w:val="center"/>
        </w:trPr>
        <w:tc>
          <w:tcPr>
            <w:tcW w:w="9526" w:type="dxa"/>
            <w:tcBorders>
              <w:top w:val="nil"/>
              <w:left w:val="nil"/>
              <w:bottom w:val="nil"/>
              <w:right w:val="nil"/>
            </w:tcBorders>
            <w:shd w:val="clear" w:color="auto" w:fill="auto"/>
            <w:noWrap/>
            <w:vAlign w:val="center"/>
          </w:tcPr>
          <w:p w14:paraId="658E8371">
            <w:pPr>
              <w:pBdr>
                <w:top w:val="single" w:color="auto" w:sz="4" w:space="1"/>
              </w:pBdr>
              <w:spacing w:line="578" w:lineRule="exact"/>
              <w:ind w:firstLine="140" w:firstLineChars="5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抄送：市</w:t>
            </w:r>
            <w:r>
              <w:rPr>
                <w:rFonts w:hint="eastAsia" w:ascii="Times New Roman" w:hAnsi="Times New Roman" w:eastAsia="方正仿宋_GBK" w:cs="Times New Roman"/>
                <w:sz w:val="28"/>
                <w:szCs w:val="28"/>
                <w:lang w:eastAsia="zh-CN"/>
              </w:rPr>
              <w:t>发展改革委、市民政局</w:t>
            </w:r>
            <w:r>
              <w:rPr>
                <w:rFonts w:hint="eastAsia" w:ascii="Times New Roman" w:hAnsi="Times New Roman" w:eastAsia="方正仿宋_GBK" w:cs="Times New Roman"/>
                <w:sz w:val="28"/>
                <w:szCs w:val="28"/>
              </w:rPr>
              <w:t>；</w:t>
            </w:r>
          </w:p>
          <w:p w14:paraId="670AEFD0">
            <w:pPr>
              <w:pBdr>
                <w:top w:val="single" w:color="auto" w:sz="4" w:space="1"/>
              </w:pBdr>
              <w:spacing w:line="578" w:lineRule="exact"/>
              <w:ind w:firstLine="980" w:firstLineChars="350"/>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县市场监管局，</w:t>
            </w:r>
            <w:r>
              <w:rPr>
                <w:rFonts w:hint="eastAsia" w:ascii="Times New Roman" w:hAnsi="Times New Roman" w:eastAsia="方正仿宋_GBK" w:cs="Times New Roman"/>
                <w:sz w:val="28"/>
                <w:szCs w:val="28"/>
              </w:rPr>
              <w:t>各乡镇</w:t>
            </w:r>
            <w:r>
              <w:rPr>
                <w:rFonts w:hint="eastAsia" w:ascii="Times New Roman" w:hAnsi="Times New Roman" w:eastAsia="方正仿宋_GBK" w:cs="Times New Roman"/>
                <w:sz w:val="28"/>
                <w:szCs w:val="28"/>
                <w:lang w:eastAsia="zh-CN"/>
              </w:rPr>
              <w:t>人民</w:t>
            </w:r>
            <w:r>
              <w:rPr>
                <w:rFonts w:hint="eastAsia" w:ascii="Times New Roman" w:hAnsi="Times New Roman" w:eastAsia="方正仿宋_GBK" w:cs="Times New Roman"/>
                <w:sz w:val="28"/>
                <w:szCs w:val="28"/>
              </w:rPr>
              <w:t>政府、街道办</w:t>
            </w:r>
            <w:r>
              <w:rPr>
                <w:rFonts w:hint="eastAsia" w:ascii="Times New Roman" w:hAnsi="Times New Roman" w:eastAsia="方正仿宋_GBK" w:cs="Times New Roman"/>
                <w:sz w:val="28"/>
                <w:szCs w:val="28"/>
                <w:lang w:eastAsia="zh-CN"/>
              </w:rPr>
              <w:t>事处</w:t>
            </w:r>
            <w:r>
              <w:rPr>
                <w:rFonts w:hint="eastAsia" w:ascii="Times New Roman" w:hAnsi="Times New Roman" w:eastAsia="方正仿宋_GBK" w:cs="Times New Roman"/>
                <w:sz w:val="28"/>
                <w:szCs w:val="28"/>
              </w:rPr>
              <w:t>。</w:t>
            </w:r>
          </w:p>
          <w:p w14:paraId="70500541">
            <w:pPr>
              <w:pBdr>
                <w:top w:val="single" w:color="auto" w:sz="4" w:space="1"/>
                <w:bottom w:val="single" w:color="auto" w:sz="4" w:space="1"/>
              </w:pBdr>
              <w:spacing w:line="578" w:lineRule="exact"/>
              <w:ind w:firstLine="140" w:firstLineChars="50"/>
              <w:rPr>
                <w:rFonts w:hint="eastAsia" w:ascii="Times New Roman" w:hAnsi="Times New Roman" w:eastAsia="方正黑体_GBK" w:cs="宋体"/>
                <w:color w:val="000000"/>
                <w:kern w:val="0"/>
                <w:sz w:val="32"/>
                <w:szCs w:val="32"/>
              </w:rPr>
            </w:pPr>
            <w:r>
              <w:rPr>
                <w:rFonts w:hint="eastAsia" w:ascii="Times New Roman" w:hAnsi="Times New Roman" w:eastAsia="方正仿宋_GBK" w:cs="Times New Roman"/>
                <w:sz w:val="28"/>
                <w:szCs w:val="28"/>
              </w:rPr>
              <w:t xml:space="preserve">云阳县发展和改革委员会办公室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24</w:t>
            </w:r>
            <w:r>
              <w:rPr>
                <w:rFonts w:hint="eastAsia" w:ascii="Times New Roman" w:hAnsi="Times New Roman" w:eastAsia="方正仿宋_GBK" w:cs="Times New Roman"/>
                <w:sz w:val="28"/>
                <w:szCs w:val="28"/>
              </w:rPr>
              <w:t>年10月</w:t>
            </w:r>
            <w:r>
              <w:rPr>
                <w:rFonts w:hint="eastAsia" w:ascii="Times New Roman" w:hAnsi="Times New Roman" w:eastAsia="方正仿宋_GBK" w:cs="Times New Roman"/>
                <w:sz w:val="28"/>
                <w:szCs w:val="28"/>
                <w:lang w:val="en-US" w:eastAsia="zh-CN"/>
              </w:rPr>
              <w:t>25</w:t>
            </w:r>
            <w:r>
              <w:rPr>
                <w:rFonts w:hint="eastAsia" w:ascii="Times New Roman" w:hAnsi="Times New Roman" w:eastAsia="方正仿宋_GBK" w:cs="Times New Roman"/>
                <w:sz w:val="28"/>
                <w:szCs w:val="28"/>
                <w:lang w:eastAsia="zh-CN"/>
              </w:rPr>
              <w:t>日</w:t>
            </w:r>
            <w:r>
              <w:rPr>
                <w:rFonts w:hint="eastAsia" w:ascii="Times New Roman" w:hAnsi="Times New Roman" w:eastAsia="方正仿宋_GBK" w:cs="Times New Roman"/>
                <w:sz w:val="28"/>
                <w:szCs w:val="28"/>
              </w:rPr>
              <w:t>印发</w:t>
            </w:r>
          </w:p>
        </w:tc>
      </w:tr>
    </w:tbl>
    <w:p w14:paraId="7BCF47B0">
      <w:pPr>
        <w:rPr>
          <w:rFonts w:ascii="Times New Roman" w:hAnsi="Times New Roman"/>
        </w:rPr>
      </w:pPr>
    </w:p>
    <w:sectPr>
      <w:footerReference r:id="rId3" w:type="default"/>
      <w:footerReference r:id="rId4" w:type="even"/>
      <w:pgSz w:w="11906" w:h="16838"/>
      <w:pgMar w:top="2098" w:right="1531" w:bottom="1985"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57CE">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332AF">
                          <w:pPr>
                            <w:pStyle w:val="2"/>
                            <w:keepNext w:val="0"/>
                            <w:keepLines w:val="0"/>
                            <w:pageBreakBefore w:val="0"/>
                            <w:widowControl w:val="0"/>
                            <w:kinsoku/>
                            <w:wordWrap/>
                            <w:overflowPunct/>
                            <w:topLinePunct w:val="0"/>
                            <w:bidi w:val="0"/>
                            <w:adjustRightInd/>
                            <w:snapToGrid w:val="0"/>
                            <w:ind w:right="278"/>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C332AF">
                    <w:pPr>
                      <w:pStyle w:val="2"/>
                      <w:keepNext w:val="0"/>
                      <w:keepLines w:val="0"/>
                      <w:pageBreakBefore w:val="0"/>
                      <w:widowControl w:val="0"/>
                      <w:kinsoku/>
                      <w:wordWrap/>
                      <w:overflowPunct/>
                      <w:topLinePunct w:val="0"/>
                      <w:bidi w:val="0"/>
                      <w:adjustRightInd/>
                      <w:snapToGrid w:val="0"/>
                      <w:ind w:right="278"/>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13444DB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297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67D1E">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C067D1E">
                    <w:pPr>
                      <w:pStyle w:val="2"/>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D45922"/>
    <w:rsid w:val="00004724"/>
    <w:rsid w:val="00027E86"/>
    <w:rsid w:val="00082B2B"/>
    <w:rsid w:val="000A7831"/>
    <w:rsid w:val="000D7C19"/>
    <w:rsid w:val="00135B61"/>
    <w:rsid w:val="001A049A"/>
    <w:rsid w:val="001B69DD"/>
    <w:rsid w:val="001E4E82"/>
    <w:rsid w:val="00201993"/>
    <w:rsid w:val="00207AF2"/>
    <w:rsid w:val="0025571C"/>
    <w:rsid w:val="002A5978"/>
    <w:rsid w:val="002B57EE"/>
    <w:rsid w:val="002D1C00"/>
    <w:rsid w:val="002D572F"/>
    <w:rsid w:val="002E4432"/>
    <w:rsid w:val="00306E1F"/>
    <w:rsid w:val="003167AF"/>
    <w:rsid w:val="00350C18"/>
    <w:rsid w:val="00371441"/>
    <w:rsid w:val="00376E5A"/>
    <w:rsid w:val="0039374F"/>
    <w:rsid w:val="003B11F9"/>
    <w:rsid w:val="003C6161"/>
    <w:rsid w:val="00416318"/>
    <w:rsid w:val="00482F19"/>
    <w:rsid w:val="004D5847"/>
    <w:rsid w:val="004E3F98"/>
    <w:rsid w:val="005311E1"/>
    <w:rsid w:val="005543A0"/>
    <w:rsid w:val="00562BF4"/>
    <w:rsid w:val="00622E54"/>
    <w:rsid w:val="006459D2"/>
    <w:rsid w:val="0066234A"/>
    <w:rsid w:val="00667497"/>
    <w:rsid w:val="00685993"/>
    <w:rsid w:val="00691CD4"/>
    <w:rsid w:val="006F1006"/>
    <w:rsid w:val="00727A58"/>
    <w:rsid w:val="0077302A"/>
    <w:rsid w:val="007B2857"/>
    <w:rsid w:val="007E54CC"/>
    <w:rsid w:val="00801BA8"/>
    <w:rsid w:val="00826AF9"/>
    <w:rsid w:val="00843CE2"/>
    <w:rsid w:val="00852095"/>
    <w:rsid w:val="00867D42"/>
    <w:rsid w:val="008766D1"/>
    <w:rsid w:val="0089500A"/>
    <w:rsid w:val="008A33D6"/>
    <w:rsid w:val="008C1C74"/>
    <w:rsid w:val="008F4484"/>
    <w:rsid w:val="00917FD5"/>
    <w:rsid w:val="009455A8"/>
    <w:rsid w:val="00955D04"/>
    <w:rsid w:val="009C3B96"/>
    <w:rsid w:val="00A04C24"/>
    <w:rsid w:val="00A225CB"/>
    <w:rsid w:val="00A30998"/>
    <w:rsid w:val="00A3107C"/>
    <w:rsid w:val="00A37C20"/>
    <w:rsid w:val="00A47B9B"/>
    <w:rsid w:val="00A70F07"/>
    <w:rsid w:val="00AC39DE"/>
    <w:rsid w:val="00AE3063"/>
    <w:rsid w:val="00B5279A"/>
    <w:rsid w:val="00B93FD4"/>
    <w:rsid w:val="00BA533B"/>
    <w:rsid w:val="00BC564F"/>
    <w:rsid w:val="00BC6BB5"/>
    <w:rsid w:val="00BF66C1"/>
    <w:rsid w:val="00C02538"/>
    <w:rsid w:val="00C0639E"/>
    <w:rsid w:val="00C23078"/>
    <w:rsid w:val="00C6252F"/>
    <w:rsid w:val="00CA0C3F"/>
    <w:rsid w:val="00CE4447"/>
    <w:rsid w:val="00CE684C"/>
    <w:rsid w:val="00D13A47"/>
    <w:rsid w:val="00D37A8A"/>
    <w:rsid w:val="00D448C9"/>
    <w:rsid w:val="00D45922"/>
    <w:rsid w:val="00D547E1"/>
    <w:rsid w:val="00D55738"/>
    <w:rsid w:val="00D673A7"/>
    <w:rsid w:val="00D704BF"/>
    <w:rsid w:val="00D75AEF"/>
    <w:rsid w:val="00D8378E"/>
    <w:rsid w:val="00DA53E8"/>
    <w:rsid w:val="00DB39BE"/>
    <w:rsid w:val="00DB5155"/>
    <w:rsid w:val="00DF4201"/>
    <w:rsid w:val="00DF56FF"/>
    <w:rsid w:val="00E379E4"/>
    <w:rsid w:val="00E4636A"/>
    <w:rsid w:val="00E86904"/>
    <w:rsid w:val="00E95D4E"/>
    <w:rsid w:val="00EC1E68"/>
    <w:rsid w:val="00F15AC9"/>
    <w:rsid w:val="00F3001F"/>
    <w:rsid w:val="00F734CA"/>
    <w:rsid w:val="00FA2279"/>
    <w:rsid w:val="00FA6CF2"/>
    <w:rsid w:val="00FB2B99"/>
    <w:rsid w:val="02F56D74"/>
    <w:rsid w:val="07287718"/>
    <w:rsid w:val="088412D3"/>
    <w:rsid w:val="0B911CBF"/>
    <w:rsid w:val="0C234952"/>
    <w:rsid w:val="0CEF2A86"/>
    <w:rsid w:val="0D0F4ED6"/>
    <w:rsid w:val="0DCE6B40"/>
    <w:rsid w:val="109C4CD3"/>
    <w:rsid w:val="11877731"/>
    <w:rsid w:val="145F6743"/>
    <w:rsid w:val="179C4E14"/>
    <w:rsid w:val="1B1A6626"/>
    <w:rsid w:val="1C422BD3"/>
    <w:rsid w:val="1F071EB1"/>
    <w:rsid w:val="1FA92F69"/>
    <w:rsid w:val="252E0198"/>
    <w:rsid w:val="25A71CF8"/>
    <w:rsid w:val="27054F28"/>
    <w:rsid w:val="271B474C"/>
    <w:rsid w:val="272D00D3"/>
    <w:rsid w:val="27BB1CDE"/>
    <w:rsid w:val="28E079FB"/>
    <w:rsid w:val="2C0A4D8F"/>
    <w:rsid w:val="2DE81BD4"/>
    <w:rsid w:val="30202DD3"/>
    <w:rsid w:val="33890C8F"/>
    <w:rsid w:val="357F3848"/>
    <w:rsid w:val="379D06E6"/>
    <w:rsid w:val="3DBA6615"/>
    <w:rsid w:val="3DFFB473"/>
    <w:rsid w:val="3E1D6BA4"/>
    <w:rsid w:val="3F6DA696"/>
    <w:rsid w:val="42F3707D"/>
    <w:rsid w:val="46146ADE"/>
    <w:rsid w:val="47F6480D"/>
    <w:rsid w:val="48951011"/>
    <w:rsid w:val="4F7F146C"/>
    <w:rsid w:val="51806BD6"/>
    <w:rsid w:val="53B14ECD"/>
    <w:rsid w:val="593212FE"/>
    <w:rsid w:val="5B487F38"/>
    <w:rsid w:val="5CE172C2"/>
    <w:rsid w:val="5D3C54BA"/>
    <w:rsid w:val="5E2C27BF"/>
    <w:rsid w:val="5E37263F"/>
    <w:rsid w:val="5FAE384E"/>
    <w:rsid w:val="635A22A1"/>
    <w:rsid w:val="692A3C57"/>
    <w:rsid w:val="70BA1EAD"/>
    <w:rsid w:val="718C1E78"/>
    <w:rsid w:val="71A90987"/>
    <w:rsid w:val="73AF381F"/>
    <w:rsid w:val="745032CB"/>
    <w:rsid w:val="758D7B90"/>
    <w:rsid w:val="77CD0717"/>
    <w:rsid w:val="7A831561"/>
    <w:rsid w:val="B4FD1BD8"/>
    <w:rsid w:val="FF557F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2322</Words>
  <Characters>2518</Characters>
  <Lines>23</Lines>
  <Paragraphs>6</Paragraphs>
  <TotalTime>21</TotalTime>
  <ScaleCrop>false</ScaleCrop>
  <LinksUpToDate>false</LinksUpToDate>
  <CharactersWithSpaces>2557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2013-08-28T10:50:00Z</dcterms:created>
  <dc:creator>Lenovo</dc:creator>
  <cp:lastModifiedBy>WC</cp:lastModifiedBy>
  <cp:lastPrinted>2024-11-06T09:51:14Z</cp:lastPrinted>
  <dcterms:modified xsi:type="dcterms:W3CDTF">2024-11-06T09:53:00Z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B4428683E47F4EF18F899839657843C5_13</vt:lpwstr>
  </property>
</Properties>
</file>